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57" w:rsidRPr="00DD3C57" w:rsidRDefault="003447DF" w:rsidP="003447DF">
      <w:pPr>
        <w:jc w:val="center"/>
        <w:rPr>
          <w:rFonts w:ascii="仿宋_GB2312" w:eastAsia="仿宋_GB2312"/>
          <w:b/>
          <w:sz w:val="36"/>
          <w:szCs w:val="36"/>
        </w:rPr>
      </w:pPr>
      <w:r w:rsidRPr="00DD3C57">
        <w:rPr>
          <w:rFonts w:ascii="仿宋_GB2312" w:eastAsia="仿宋_GB2312" w:hint="eastAsia"/>
          <w:b/>
          <w:sz w:val="36"/>
          <w:szCs w:val="36"/>
        </w:rPr>
        <w:t>共青团中央学校部</w:t>
      </w:r>
    </w:p>
    <w:p w:rsidR="00D97FBE" w:rsidRPr="00DD3C57" w:rsidRDefault="003447DF" w:rsidP="003447DF">
      <w:pPr>
        <w:jc w:val="center"/>
        <w:rPr>
          <w:rFonts w:ascii="仿宋_GB2312" w:eastAsia="仿宋_GB2312"/>
          <w:b/>
          <w:sz w:val="36"/>
          <w:szCs w:val="36"/>
        </w:rPr>
      </w:pPr>
      <w:r w:rsidRPr="00DD3C57">
        <w:rPr>
          <w:rFonts w:ascii="仿宋_GB2312" w:eastAsia="仿宋_GB2312" w:hint="eastAsia"/>
          <w:b/>
          <w:sz w:val="36"/>
          <w:szCs w:val="36"/>
        </w:rPr>
        <w:t>关于高校党</w:t>
      </w:r>
      <w:r w:rsidR="00C770B4">
        <w:rPr>
          <w:rFonts w:ascii="仿宋_GB2312" w:eastAsia="仿宋_GB2312" w:hint="eastAsia"/>
          <w:b/>
          <w:sz w:val="36"/>
          <w:szCs w:val="36"/>
        </w:rPr>
        <w:t>、</w:t>
      </w:r>
      <w:r w:rsidRPr="00DD3C57">
        <w:rPr>
          <w:rFonts w:ascii="仿宋_GB2312" w:eastAsia="仿宋_GB2312" w:hint="eastAsia"/>
          <w:b/>
          <w:sz w:val="36"/>
          <w:szCs w:val="36"/>
        </w:rPr>
        <w:t>团建</w:t>
      </w:r>
      <w:r w:rsidR="00DD3C57" w:rsidRPr="00DD3C57">
        <w:rPr>
          <w:rFonts w:ascii="仿宋_GB2312" w:eastAsia="仿宋_GB2312" w:hint="eastAsia"/>
          <w:b/>
          <w:sz w:val="36"/>
          <w:szCs w:val="36"/>
        </w:rPr>
        <w:t>工作</w:t>
      </w:r>
      <w:r w:rsidR="00C770B4">
        <w:rPr>
          <w:rFonts w:ascii="仿宋_GB2312" w:eastAsia="仿宋_GB2312" w:hint="eastAsia"/>
          <w:b/>
          <w:sz w:val="36"/>
          <w:szCs w:val="36"/>
        </w:rPr>
        <w:t>现状抽样调研</w:t>
      </w:r>
      <w:r w:rsidRPr="00DD3C57">
        <w:rPr>
          <w:rFonts w:ascii="仿宋_GB2312" w:eastAsia="仿宋_GB2312" w:hint="eastAsia"/>
          <w:b/>
          <w:sz w:val="36"/>
          <w:szCs w:val="36"/>
        </w:rPr>
        <w:t>的通知</w:t>
      </w:r>
    </w:p>
    <w:p w:rsidR="003447DF" w:rsidRDefault="003447DF" w:rsidP="003447DF">
      <w:pPr>
        <w:rPr>
          <w:rFonts w:ascii="仿宋_GB2312" w:eastAsia="仿宋_GB2312"/>
          <w:sz w:val="30"/>
          <w:szCs w:val="30"/>
        </w:rPr>
      </w:pPr>
    </w:p>
    <w:p w:rsidR="003447DF" w:rsidRDefault="003447DF" w:rsidP="003447DF">
      <w:pPr>
        <w:rPr>
          <w:rFonts w:ascii="仿宋_GB2312" w:eastAsia="仿宋_GB2312"/>
          <w:sz w:val="30"/>
          <w:szCs w:val="30"/>
        </w:rPr>
      </w:pPr>
      <w:r w:rsidRPr="003447DF">
        <w:rPr>
          <w:rFonts w:ascii="仿宋_GB2312" w:eastAsia="仿宋_GB2312" w:hint="eastAsia"/>
          <w:sz w:val="30"/>
          <w:szCs w:val="30"/>
        </w:rPr>
        <w:t>共青团</w:t>
      </w:r>
      <w:r w:rsidR="00BB4C8F">
        <w:rPr>
          <w:rFonts w:ascii="仿宋_GB2312" w:eastAsia="仿宋_GB2312" w:hint="eastAsia"/>
          <w:sz w:val="30"/>
          <w:szCs w:val="30"/>
        </w:rPr>
        <w:t>上海、陕西、</w:t>
      </w:r>
      <w:r w:rsidRPr="003447DF">
        <w:rPr>
          <w:rFonts w:ascii="仿宋_GB2312" w:eastAsia="仿宋_GB2312" w:hint="eastAsia"/>
          <w:sz w:val="30"/>
          <w:szCs w:val="30"/>
        </w:rPr>
        <w:t>福建、湖北、四川省委学校部：</w:t>
      </w:r>
    </w:p>
    <w:p w:rsidR="003447DF" w:rsidRDefault="00A0476E" w:rsidP="00DD3C57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为迎接党的十八大胜利召开和隆重庆祝建团90周年，</w:t>
      </w:r>
      <w:r w:rsidR="00DD3C57">
        <w:rPr>
          <w:rFonts w:ascii="仿宋_GB2312" w:eastAsia="仿宋_GB2312" w:hint="eastAsia"/>
          <w:sz w:val="30"/>
          <w:szCs w:val="30"/>
        </w:rPr>
        <w:t>进一步探索</w:t>
      </w:r>
      <w:r w:rsidR="003447DF">
        <w:rPr>
          <w:rFonts w:ascii="仿宋_GB2312" w:eastAsia="仿宋_GB2312" w:hint="eastAsia"/>
          <w:sz w:val="30"/>
          <w:szCs w:val="30"/>
        </w:rPr>
        <w:t>“党建带团建、团建促党建”</w:t>
      </w:r>
      <w:r>
        <w:rPr>
          <w:rFonts w:ascii="仿宋_GB2312" w:eastAsia="仿宋_GB2312" w:hint="eastAsia"/>
          <w:sz w:val="30"/>
          <w:szCs w:val="30"/>
        </w:rPr>
        <w:t>工作机制的新路径，</w:t>
      </w:r>
      <w:r w:rsidR="00DD3C57">
        <w:rPr>
          <w:rFonts w:ascii="仿宋_GB2312" w:eastAsia="仿宋_GB2312" w:hint="eastAsia"/>
          <w:sz w:val="30"/>
          <w:szCs w:val="30"/>
        </w:rPr>
        <w:t>同时配合中央政策研究室近期开展的“高校党建工作调研”</w:t>
      </w:r>
      <w:r w:rsidR="008F4FC8">
        <w:rPr>
          <w:rFonts w:ascii="仿宋_GB2312" w:eastAsia="仿宋_GB2312" w:hint="eastAsia"/>
          <w:sz w:val="30"/>
          <w:szCs w:val="30"/>
        </w:rPr>
        <w:t>活动</w:t>
      </w:r>
      <w:r w:rsidR="00DD3C57">
        <w:rPr>
          <w:rFonts w:ascii="仿宋_GB2312" w:eastAsia="仿宋_GB2312" w:hint="eastAsia"/>
          <w:sz w:val="30"/>
          <w:szCs w:val="30"/>
        </w:rPr>
        <w:t>，经团中央学校部研究决定，对部分高校党</w:t>
      </w:r>
      <w:r w:rsidR="004F431A">
        <w:rPr>
          <w:rFonts w:ascii="仿宋_GB2312" w:eastAsia="仿宋_GB2312" w:hint="eastAsia"/>
          <w:sz w:val="30"/>
          <w:szCs w:val="30"/>
        </w:rPr>
        <w:t>、团建工作现状进行抽样调研</w:t>
      </w:r>
      <w:r w:rsidR="00DD3C57">
        <w:rPr>
          <w:rFonts w:ascii="仿宋_GB2312" w:eastAsia="仿宋_GB2312" w:hint="eastAsia"/>
          <w:sz w:val="30"/>
          <w:szCs w:val="30"/>
        </w:rPr>
        <w:t>，现就相关工作通知如下：</w:t>
      </w:r>
    </w:p>
    <w:p w:rsidR="00DD3C57" w:rsidRPr="004F431A" w:rsidRDefault="008F4FC8" w:rsidP="008F4FC8">
      <w:pPr>
        <w:ind w:firstLine="600"/>
        <w:rPr>
          <w:rFonts w:ascii="方正大黑简体" w:eastAsia="方正大黑简体"/>
          <w:sz w:val="30"/>
          <w:szCs w:val="30"/>
        </w:rPr>
      </w:pPr>
      <w:r w:rsidRPr="004F431A">
        <w:rPr>
          <w:rFonts w:ascii="方正大黑简体" w:eastAsia="方正大黑简体" w:hint="eastAsia"/>
          <w:sz w:val="30"/>
          <w:szCs w:val="30"/>
        </w:rPr>
        <w:t>一、</w:t>
      </w:r>
      <w:r w:rsidR="00C770B4" w:rsidRPr="004F431A">
        <w:rPr>
          <w:rFonts w:ascii="方正大黑简体" w:eastAsia="方正大黑简体" w:hint="eastAsia"/>
          <w:sz w:val="30"/>
          <w:szCs w:val="30"/>
        </w:rPr>
        <w:t>调研</w:t>
      </w:r>
      <w:r w:rsidR="00DD3C57" w:rsidRPr="004F431A">
        <w:rPr>
          <w:rFonts w:ascii="方正大黑简体" w:eastAsia="方正大黑简体" w:hint="eastAsia"/>
          <w:sz w:val="30"/>
          <w:szCs w:val="30"/>
        </w:rPr>
        <w:t>对象</w:t>
      </w:r>
    </w:p>
    <w:p w:rsidR="008F4FC8" w:rsidRDefault="008F4FC8" w:rsidP="008F4FC8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上述</w:t>
      </w:r>
      <w:r w:rsidR="00BB4C8F"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个省级团委学校部在各自省内抽取3所不同层级高校，分别是部属高校一</w:t>
      </w:r>
      <w:r w:rsidR="00D84528">
        <w:rPr>
          <w:rFonts w:ascii="仿宋_GB2312" w:eastAsia="仿宋_GB2312" w:hint="eastAsia"/>
          <w:sz w:val="30"/>
          <w:szCs w:val="30"/>
        </w:rPr>
        <w:t>所、省属高校一所、独立学院一所作为调研</w:t>
      </w:r>
      <w:r w:rsidR="00574096">
        <w:rPr>
          <w:rFonts w:ascii="仿宋_GB2312" w:eastAsia="仿宋_GB2312" w:hint="eastAsia"/>
          <w:sz w:val="30"/>
          <w:szCs w:val="30"/>
        </w:rPr>
        <w:t>对象，其中四川省须安排</w:t>
      </w:r>
      <w:r>
        <w:rPr>
          <w:rFonts w:ascii="仿宋_GB2312" w:eastAsia="仿宋_GB2312" w:hint="eastAsia"/>
          <w:sz w:val="30"/>
          <w:szCs w:val="30"/>
        </w:rPr>
        <w:t>一所民族类高校。</w:t>
      </w:r>
    </w:p>
    <w:p w:rsidR="00F67E34" w:rsidRPr="00F67E34" w:rsidRDefault="00F67E34" w:rsidP="008F4FC8">
      <w:pPr>
        <w:ind w:firstLine="600"/>
        <w:rPr>
          <w:rFonts w:ascii="方正大黑简体" w:eastAsia="方正大黑简体"/>
          <w:sz w:val="30"/>
          <w:szCs w:val="30"/>
        </w:rPr>
      </w:pPr>
      <w:r w:rsidRPr="00F67E34">
        <w:rPr>
          <w:rFonts w:ascii="方正大黑简体" w:eastAsia="方正大黑简体" w:hint="eastAsia"/>
          <w:sz w:val="30"/>
          <w:szCs w:val="30"/>
        </w:rPr>
        <w:t>二、调研方式：</w:t>
      </w:r>
    </w:p>
    <w:p w:rsidR="00F67E34" w:rsidRPr="00F67E34" w:rsidRDefault="00F67E34" w:rsidP="008F4FC8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采取“填写统计表</w:t>
      </w:r>
      <w:r w:rsidRPr="00F67E34">
        <w:rPr>
          <w:rFonts w:ascii="仿宋_GB2312" w:eastAsia="仿宋_GB2312" w:hint="eastAsia"/>
          <w:sz w:val="36"/>
          <w:szCs w:val="36"/>
        </w:rPr>
        <w:t>+</w:t>
      </w:r>
      <w:r>
        <w:rPr>
          <w:rFonts w:ascii="仿宋_GB2312" w:eastAsia="仿宋_GB2312" w:hint="eastAsia"/>
          <w:sz w:val="30"/>
          <w:szCs w:val="30"/>
        </w:rPr>
        <w:t>回答调研问题”两相结合的方式</w:t>
      </w:r>
    </w:p>
    <w:p w:rsidR="008F4FC8" w:rsidRPr="004F431A" w:rsidRDefault="00F67E34" w:rsidP="008F4FC8">
      <w:pPr>
        <w:ind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>三</w:t>
      </w:r>
      <w:r w:rsidR="00C770B4" w:rsidRPr="004F431A">
        <w:rPr>
          <w:rFonts w:ascii="方正大黑简体" w:eastAsia="方正大黑简体" w:hint="eastAsia"/>
          <w:sz w:val="30"/>
          <w:szCs w:val="30"/>
        </w:rPr>
        <w:t>、调研</w:t>
      </w:r>
      <w:r>
        <w:rPr>
          <w:rFonts w:ascii="方正大黑简体" w:eastAsia="方正大黑简体" w:hint="eastAsia"/>
          <w:sz w:val="30"/>
          <w:szCs w:val="30"/>
        </w:rPr>
        <w:t>问题</w:t>
      </w:r>
    </w:p>
    <w:p w:rsidR="00574096" w:rsidRDefault="008F4FC8" w:rsidP="009E306D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="009E306D">
        <w:rPr>
          <w:rFonts w:ascii="仿宋_GB2312" w:eastAsia="仿宋_GB2312" w:hint="eastAsia"/>
          <w:sz w:val="30"/>
          <w:szCs w:val="30"/>
        </w:rPr>
        <w:t>在当前历史背景下，发展</w:t>
      </w:r>
      <w:r w:rsidR="00574096">
        <w:rPr>
          <w:rFonts w:ascii="仿宋_GB2312" w:eastAsia="仿宋_GB2312" w:hint="eastAsia"/>
          <w:sz w:val="30"/>
          <w:szCs w:val="30"/>
        </w:rPr>
        <w:t>大学生</w:t>
      </w:r>
      <w:r w:rsidR="00D84528">
        <w:rPr>
          <w:rFonts w:ascii="仿宋_GB2312" w:eastAsia="仿宋_GB2312" w:hint="eastAsia"/>
          <w:sz w:val="30"/>
          <w:szCs w:val="30"/>
        </w:rPr>
        <w:t>党、团员</w:t>
      </w:r>
      <w:r w:rsidR="00C10401">
        <w:rPr>
          <w:rFonts w:ascii="仿宋_GB2312" w:eastAsia="仿宋_GB2312" w:hint="eastAsia"/>
          <w:sz w:val="30"/>
          <w:szCs w:val="30"/>
        </w:rPr>
        <w:t>现状</w:t>
      </w:r>
      <w:r w:rsidR="009E306D">
        <w:rPr>
          <w:rFonts w:ascii="仿宋_GB2312" w:eastAsia="仿宋_GB2312" w:hint="eastAsia"/>
          <w:sz w:val="30"/>
          <w:szCs w:val="30"/>
        </w:rPr>
        <w:t>与</w:t>
      </w:r>
      <w:r w:rsidR="00D84528">
        <w:rPr>
          <w:rFonts w:ascii="仿宋_GB2312" w:eastAsia="仿宋_GB2312" w:hint="eastAsia"/>
          <w:sz w:val="30"/>
          <w:szCs w:val="30"/>
        </w:rPr>
        <w:t>趋势分析</w:t>
      </w:r>
      <w:r w:rsidR="00574096">
        <w:rPr>
          <w:rFonts w:ascii="仿宋_GB2312" w:eastAsia="仿宋_GB2312" w:hint="eastAsia"/>
          <w:sz w:val="30"/>
          <w:szCs w:val="30"/>
        </w:rPr>
        <w:t>；</w:t>
      </w:r>
    </w:p>
    <w:p w:rsidR="00574096" w:rsidRDefault="009E306D" w:rsidP="008F4FC8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="00574096">
        <w:rPr>
          <w:rFonts w:ascii="仿宋_GB2312" w:eastAsia="仿宋_GB2312" w:hint="eastAsia"/>
          <w:sz w:val="30"/>
          <w:szCs w:val="30"/>
        </w:rPr>
        <w:t>.高校团组织</w:t>
      </w:r>
      <w:r w:rsidR="00D84528">
        <w:rPr>
          <w:rFonts w:ascii="仿宋_GB2312" w:eastAsia="仿宋_GB2312" w:hint="eastAsia"/>
          <w:sz w:val="30"/>
          <w:szCs w:val="30"/>
        </w:rPr>
        <w:t>落实</w:t>
      </w:r>
      <w:r>
        <w:rPr>
          <w:rFonts w:ascii="仿宋_GB2312" w:eastAsia="仿宋_GB2312" w:hint="eastAsia"/>
          <w:sz w:val="30"/>
          <w:szCs w:val="30"/>
        </w:rPr>
        <w:t>“推优入党”工作以往取得的经验与创新点</w:t>
      </w:r>
      <w:r w:rsidR="00574096">
        <w:rPr>
          <w:rFonts w:ascii="仿宋_GB2312" w:eastAsia="仿宋_GB2312" w:hint="eastAsia"/>
          <w:sz w:val="30"/>
          <w:szCs w:val="30"/>
        </w:rPr>
        <w:t>；</w:t>
      </w:r>
    </w:p>
    <w:p w:rsidR="007F0653" w:rsidRDefault="009E306D" w:rsidP="007F0653">
      <w:pPr>
        <w:ind w:leftChars="284" w:left="1196" w:hangingChars="200" w:hanging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="001B3D87">
        <w:rPr>
          <w:rFonts w:ascii="仿宋_GB2312" w:eastAsia="仿宋_GB2312" w:hint="eastAsia"/>
          <w:sz w:val="30"/>
          <w:szCs w:val="30"/>
        </w:rPr>
        <w:t>.关于当前大学生发展党员比例、</w:t>
      </w:r>
      <w:r w:rsidR="00D84528">
        <w:rPr>
          <w:rFonts w:ascii="仿宋_GB2312" w:eastAsia="仿宋_GB2312" w:hint="eastAsia"/>
          <w:sz w:val="30"/>
          <w:szCs w:val="30"/>
        </w:rPr>
        <w:t>完善“推优入党”工作</w:t>
      </w:r>
      <w:r w:rsidR="007F0653">
        <w:rPr>
          <w:rFonts w:ascii="仿宋_GB2312" w:eastAsia="仿宋_GB2312" w:hint="eastAsia"/>
          <w:sz w:val="30"/>
          <w:szCs w:val="30"/>
        </w:rPr>
        <w:t>机制的</w:t>
      </w:r>
    </w:p>
    <w:p w:rsidR="001B3D87" w:rsidRDefault="00D84528" w:rsidP="007F0653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有</w:t>
      </w:r>
      <w:r w:rsidR="009E306D">
        <w:rPr>
          <w:rFonts w:ascii="仿宋_GB2312" w:eastAsia="仿宋_GB2312" w:hint="eastAsia"/>
          <w:sz w:val="30"/>
          <w:szCs w:val="30"/>
        </w:rPr>
        <w:t>关建议；</w:t>
      </w:r>
    </w:p>
    <w:p w:rsidR="001B3D87" w:rsidRDefault="009E306D" w:rsidP="009E306D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</w:t>
      </w:r>
      <w:r w:rsidR="001B3D87">
        <w:rPr>
          <w:rFonts w:ascii="仿宋_GB2312" w:eastAsia="仿宋_GB2312" w:hint="eastAsia"/>
          <w:sz w:val="30"/>
          <w:szCs w:val="30"/>
        </w:rPr>
        <w:t>独立学院 “党建带团建、团建促党建”的工作落实情况；</w:t>
      </w:r>
    </w:p>
    <w:p w:rsidR="001B3D87" w:rsidRDefault="009E306D" w:rsidP="009E306D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 w:rsidR="001B3D87">
        <w:rPr>
          <w:rFonts w:ascii="仿宋_GB2312" w:eastAsia="仿宋_GB2312" w:hint="eastAsia"/>
          <w:sz w:val="30"/>
          <w:szCs w:val="30"/>
        </w:rPr>
        <w:t>.独立学院党、团建</w:t>
      </w:r>
      <w:r w:rsidR="00F84DD2">
        <w:rPr>
          <w:rFonts w:ascii="仿宋_GB2312" w:eastAsia="仿宋_GB2312" w:hint="eastAsia"/>
          <w:sz w:val="30"/>
          <w:szCs w:val="30"/>
        </w:rPr>
        <w:t>的特殊路径与方法创新及其困惑</w:t>
      </w:r>
      <w:r w:rsidR="00D84528">
        <w:rPr>
          <w:rFonts w:ascii="仿宋_GB2312" w:eastAsia="仿宋_GB2312" w:hint="eastAsia"/>
          <w:sz w:val="30"/>
          <w:szCs w:val="30"/>
        </w:rPr>
        <w:t>、</w:t>
      </w:r>
      <w:r w:rsidR="00F84DD2">
        <w:rPr>
          <w:rFonts w:ascii="仿宋_GB2312" w:eastAsia="仿宋_GB2312" w:hint="eastAsia"/>
          <w:sz w:val="30"/>
          <w:szCs w:val="30"/>
        </w:rPr>
        <w:t>建议。</w:t>
      </w:r>
    </w:p>
    <w:p w:rsidR="00F84DD2" w:rsidRDefault="009E306D" w:rsidP="00F84DD2">
      <w:pPr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 xml:space="preserve"> 6</w:t>
      </w:r>
      <w:r w:rsidR="00F84DD2">
        <w:rPr>
          <w:rFonts w:ascii="仿宋_GB2312" w:eastAsia="仿宋_GB2312" w:hint="eastAsia"/>
          <w:sz w:val="30"/>
          <w:szCs w:val="30"/>
        </w:rPr>
        <w:t>.校级“青年马克思主义者培养工程”落实情况；</w:t>
      </w:r>
    </w:p>
    <w:p w:rsidR="00F84DD2" w:rsidRDefault="009E306D" w:rsidP="00F84DD2">
      <w:pPr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7</w:t>
      </w:r>
      <w:r w:rsidR="00F84DD2">
        <w:rPr>
          <w:rFonts w:ascii="仿宋_GB2312" w:eastAsia="仿宋_GB2312" w:hint="eastAsia"/>
          <w:sz w:val="30"/>
          <w:szCs w:val="30"/>
        </w:rPr>
        <w:t>.大学生党员在就业</w:t>
      </w:r>
      <w:r w:rsidR="007F0653">
        <w:rPr>
          <w:rFonts w:ascii="仿宋_GB2312" w:eastAsia="仿宋_GB2312" w:hint="eastAsia"/>
          <w:sz w:val="30"/>
          <w:szCs w:val="30"/>
        </w:rPr>
        <w:t>层次、去向</w:t>
      </w:r>
      <w:r w:rsidR="00F84DD2">
        <w:rPr>
          <w:rFonts w:ascii="仿宋_GB2312" w:eastAsia="仿宋_GB2312" w:hint="eastAsia"/>
          <w:sz w:val="30"/>
          <w:szCs w:val="30"/>
        </w:rPr>
        <w:t>与普通大学生的比较分析；</w:t>
      </w:r>
    </w:p>
    <w:p w:rsidR="00F84DD2" w:rsidRDefault="00F84DD2" w:rsidP="009E306D">
      <w:pPr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 w:rsidR="009E306D"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.加强大学生党员后续培养与锻炼的</w:t>
      </w:r>
      <w:r w:rsidR="009E306D">
        <w:rPr>
          <w:rFonts w:ascii="仿宋_GB2312" w:eastAsia="仿宋_GB2312" w:hint="eastAsia"/>
          <w:sz w:val="30"/>
          <w:szCs w:val="30"/>
        </w:rPr>
        <w:t>具体措施、</w:t>
      </w:r>
      <w:r>
        <w:rPr>
          <w:rFonts w:ascii="仿宋_GB2312" w:eastAsia="仿宋_GB2312" w:hint="eastAsia"/>
          <w:sz w:val="30"/>
          <w:szCs w:val="30"/>
        </w:rPr>
        <w:t>工作创新与</w:t>
      </w:r>
      <w:r w:rsidR="009E306D">
        <w:rPr>
          <w:rFonts w:ascii="仿宋_GB2312" w:eastAsia="仿宋_GB2312" w:hint="eastAsia"/>
          <w:sz w:val="30"/>
          <w:szCs w:val="30"/>
        </w:rPr>
        <w:t>合理</w:t>
      </w:r>
      <w:r>
        <w:rPr>
          <w:rFonts w:ascii="仿宋_GB2312" w:eastAsia="仿宋_GB2312" w:hint="eastAsia"/>
          <w:sz w:val="30"/>
          <w:szCs w:val="30"/>
        </w:rPr>
        <w:t>建议。</w:t>
      </w:r>
    </w:p>
    <w:p w:rsidR="00F84DD2" w:rsidRPr="004F431A" w:rsidRDefault="007F0653" w:rsidP="00D84528">
      <w:pPr>
        <w:ind w:firstLineChars="200"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>四</w:t>
      </w:r>
      <w:r w:rsidR="00F84DD2" w:rsidRPr="004F431A">
        <w:rPr>
          <w:rFonts w:ascii="方正大黑简体" w:eastAsia="方正大黑简体" w:hint="eastAsia"/>
          <w:sz w:val="30"/>
          <w:szCs w:val="30"/>
        </w:rPr>
        <w:t>、工作要求：</w:t>
      </w:r>
    </w:p>
    <w:p w:rsidR="00F84DD2" w:rsidRDefault="00C770B4" w:rsidP="00F84DD2">
      <w:pPr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 w:rsidR="00F84DD2">
        <w:rPr>
          <w:rFonts w:ascii="仿宋_GB2312" w:eastAsia="仿宋_GB2312" w:hint="eastAsia"/>
          <w:sz w:val="30"/>
          <w:szCs w:val="30"/>
        </w:rPr>
        <w:t>以所在省的三所高校为单位，从实际出发，确保数据准确、定性科学、</w:t>
      </w:r>
      <w:r w:rsidR="00C10401">
        <w:rPr>
          <w:rFonts w:ascii="仿宋_GB2312" w:eastAsia="仿宋_GB2312" w:hint="eastAsia"/>
          <w:sz w:val="30"/>
          <w:szCs w:val="30"/>
        </w:rPr>
        <w:t>建议</w:t>
      </w:r>
      <w:proofErr w:type="gramStart"/>
      <w:r w:rsidR="00C10401">
        <w:rPr>
          <w:rFonts w:ascii="仿宋_GB2312" w:eastAsia="仿宋_GB2312" w:hint="eastAsia"/>
          <w:sz w:val="30"/>
          <w:szCs w:val="30"/>
        </w:rPr>
        <w:t>衷</w:t>
      </w:r>
      <w:proofErr w:type="gramEnd"/>
      <w:r w:rsidR="00C10401">
        <w:rPr>
          <w:rFonts w:ascii="仿宋_GB2312" w:eastAsia="仿宋_GB2312" w:hint="eastAsia"/>
          <w:sz w:val="30"/>
          <w:szCs w:val="30"/>
        </w:rPr>
        <w:t>肯</w:t>
      </w:r>
      <w:r>
        <w:rPr>
          <w:rFonts w:ascii="仿宋_GB2312" w:eastAsia="仿宋_GB2312" w:hint="eastAsia"/>
          <w:sz w:val="30"/>
          <w:szCs w:val="30"/>
        </w:rPr>
        <w:t>，同时请三个省级团委学校部进行汇总、归纳、提炼，在被抽样的三所高校基础之上，科学判断、如实反映全省大学生党、团员状况与高校党、团建现状，并提出具有普适性的合理化建议。</w:t>
      </w:r>
    </w:p>
    <w:p w:rsidR="00C770B4" w:rsidRPr="004F431A" w:rsidRDefault="007F0653" w:rsidP="00D84528">
      <w:pPr>
        <w:ind w:firstLineChars="200"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>五</w:t>
      </w:r>
      <w:r w:rsidR="00C770B4" w:rsidRPr="004F431A">
        <w:rPr>
          <w:rFonts w:ascii="方正大黑简体" w:eastAsia="方正大黑简体" w:hint="eastAsia"/>
          <w:sz w:val="30"/>
          <w:szCs w:val="30"/>
        </w:rPr>
        <w:t>、上报时间：</w:t>
      </w:r>
    </w:p>
    <w:p w:rsidR="00C770B4" w:rsidRDefault="00C770B4" w:rsidP="00F84DD2">
      <w:pPr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请上述</w:t>
      </w:r>
      <w:r w:rsidR="00BB4C8F">
        <w:rPr>
          <w:rFonts w:ascii="仿宋_GB2312" w:eastAsia="仿宋_GB2312" w:hint="eastAsia"/>
          <w:sz w:val="30"/>
          <w:szCs w:val="30"/>
        </w:rPr>
        <w:t>5</w:t>
      </w:r>
      <w:bookmarkStart w:id="0" w:name="_GoBack"/>
      <w:bookmarkEnd w:id="0"/>
      <w:r w:rsidR="00827958">
        <w:rPr>
          <w:rFonts w:ascii="仿宋_GB2312" w:eastAsia="仿宋_GB2312" w:hint="eastAsia"/>
          <w:sz w:val="30"/>
          <w:szCs w:val="30"/>
        </w:rPr>
        <w:t>个省级团委</w:t>
      </w:r>
      <w:r>
        <w:rPr>
          <w:rFonts w:ascii="仿宋_GB2312" w:eastAsia="仿宋_GB2312" w:hint="eastAsia"/>
          <w:sz w:val="30"/>
          <w:szCs w:val="30"/>
        </w:rPr>
        <w:t>学校部于2012年2月10日前将各自省份</w:t>
      </w:r>
      <w:r w:rsidR="00C10401">
        <w:rPr>
          <w:rFonts w:ascii="仿宋_GB2312" w:eastAsia="仿宋_GB2312" w:hint="eastAsia"/>
          <w:sz w:val="30"/>
          <w:szCs w:val="30"/>
        </w:rPr>
        <w:t>汇总的</w:t>
      </w:r>
      <w:r>
        <w:rPr>
          <w:rFonts w:ascii="仿宋_GB2312" w:eastAsia="仿宋_GB2312" w:hint="eastAsia"/>
          <w:sz w:val="30"/>
          <w:szCs w:val="30"/>
        </w:rPr>
        <w:t>抽样</w:t>
      </w:r>
      <w:r w:rsidR="00C10401">
        <w:rPr>
          <w:rFonts w:ascii="仿宋_GB2312" w:eastAsia="仿宋_GB2312" w:hint="eastAsia"/>
          <w:sz w:val="30"/>
          <w:szCs w:val="30"/>
        </w:rPr>
        <w:t>统计表与</w:t>
      </w:r>
      <w:r>
        <w:rPr>
          <w:rFonts w:ascii="仿宋_GB2312" w:eastAsia="仿宋_GB2312" w:hint="eastAsia"/>
          <w:sz w:val="30"/>
          <w:szCs w:val="30"/>
        </w:rPr>
        <w:t>调研报告</w:t>
      </w:r>
      <w:r w:rsidR="004F431A">
        <w:rPr>
          <w:rFonts w:ascii="仿宋_GB2312" w:eastAsia="仿宋_GB2312" w:hint="eastAsia"/>
          <w:sz w:val="30"/>
          <w:szCs w:val="30"/>
        </w:rPr>
        <w:t>电子版</w:t>
      </w:r>
      <w:r>
        <w:rPr>
          <w:rFonts w:ascii="仿宋_GB2312" w:eastAsia="仿宋_GB2312" w:hint="eastAsia"/>
          <w:sz w:val="30"/>
          <w:szCs w:val="30"/>
        </w:rPr>
        <w:t>一并发往团中央学校部大学处。</w:t>
      </w:r>
    </w:p>
    <w:p w:rsidR="00C770B4" w:rsidRDefault="004F431A" w:rsidP="00F84DD2">
      <w:pPr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联系人：周巍     联系电话：010—85212280</w:t>
      </w:r>
    </w:p>
    <w:p w:rsidR="004F431A" w:rsidRPr="004F431A" w:rsidRDefault="004F431A" w:rsidP="004F431A">
      <w:pPr>
        <w:ind w:firstLineChars="150" w:firstLine="45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int="eastAsia"/>
          <w:sz w:val="30"/>
          <w:szCs w:val="30"/>
        </w:rPr>
        <w:t>联系邮箱：</w:t>
      </w:r>
      <w:r w:rsidRPr="004F431A">
        <w:rPr>
          <w:rFonts w:ascii="宋体" w:eastAsia="宋体" w:hAnsi="宋体" w:cs="宋体"/>
          <w:kern w:val="0"/>
          <w:sz w:val="24"/>
          <w:szCs w:val="24"/>
        </w:rPr>
        <w:t xml:space="preserve">daxuechu@sina.com </w:t>
      </w:r>
    </w:p>
    <w:p w:rsidR="004F431A" w:rsidRDefault="004F431A" w:rsidP="00F84DD2">
      <w:pPr>
        <w:ind w:firstLineChars="150" w:firstLine="450"/>
        <w:rPr>
          <w:rFonts w:ascii="仿宋_GB2312" w:eastAsia="仿宋_GB2312"/>
          <w:sz w:val="30"/>
          <w:szCs w:val="30"/>
        </w:rPr>
      </w:pPr>
    </w:p>
    <w:p w:rsidR="004F431A" w:rsidRDefault="004F431A" w:rsidP="004F431A">
      <w:pPr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共青团中央学校部</w:t>
      </w:r>
    </w:p>
    <w:p w:rsidR="004F431A" w:rsidRPr="004F431A" w:rsidRDefault="004F431A" w:rsidP="004F431A">
      <w:pPr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二○一二年二月二</w:t>
      </w:r>
      <w:r w:rsidRPr="004F431A">
        <w:rPr>
          <w:rFonts w:ascii="仿宋_GB2312" w:eastAsia="仿宋_GB2312" w:hint="eastAsia"/>
          <w:sz w:val="30"/>
          <w:szCs w:val="30"/>
        </w:rPr>
        <w:t>日</w:t>
      </w:r>
    </w:p>
    <w:p w:rsidR="004F431A" w:rsidRDefault="004F431A" w:rsidP="004F431A">
      <w:pPr>
        <w:ind w:firstLineChars="150" w:firstLine="450"/>
        <w:rPr>
          <w:rFonts w:ascii="仿宋_GB2312" w:eastAsia="仿宋_GB2312"/>
          <w:sz w:val="30"/>
          <w:szCs w:val="30"/>
        </w:rPr>
      </w:pPr>
    </w:p>
    <w:p w:rsidR="007F0653" w:rsidRDefault="007F0653" w:rsidP="004F431A">
      <w:pPr>
        <w:ind w:firstLineChars="150" w:firstLine="450"/>
        <w:rPr>
          <w:rFonts w:ascii="仿宋_GB2312" w:eastAsia="仿宋_GB2312"/>
          <w:sz w:val="30"/>
          <w:szCs w:val="30"/>
        </w:rPr>
      </w:pPr>
    </w:p>
    <w:p w:rsidR="007F0653" w:rsidRDefault="007F0653" w:rsidP="004F431A">
      <w:pPr>
        <w:ind w:firstLineChars="150" w:firstLine="450"/>
        <w:rPr>
          <w:rFonts w:ascii="仿宋_GB2312" w:eastAsia="仿宋_GB2312"/>
          <w:sz w:val="30"/>
          <w:szCs w:val="30"/>
        </w:rPr>
      </w:pPr>
    </w:p>
    <w:p w:rsidR="007F0653" w:rsidRDefault="007F0653" w:rsidP="004F431A">
      <w:pPr>
        <w:ind w:firstLineChars="150" w:firstLine="450"/>
        <w:rPr>
          <w:rFonts w:ascii="仿宋_GB2312" w:eastAsia="仿宋_GB2312"/>
          <w:sz w:val="30"/>
          <w:szCs w:val="30"/>
        </w:rPr>
      </w:pPr>
    </w:p>
    <w:p w:rsidR="007F0653" w:rsidRPr="004F431A" w:rsidRDefault="007F0653" w:rsidP="007F0653">
      <w:pPr>
        <w:rPr>
          <w:rFonts w:ascii="仿宋_GB2312" w:eastAsia="仿宋_GB2312"/>
          <w:sz w:val="30"/>
          <w:szCs w:val="30"/>
        </w:rPr>
      </w:pPr>
    </w:p>
    <w:sectPr w:rsidR="007F0653" w:rsidRPr="004F431A" w:rsidSect="009E306D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D1" w:rsidRDefault="003806D1" w:rsidP="00BB4C8F">
      <w:r>
        <w:separator/>
      </w:r>
    </w:p>
  </w:endnote>
  <w:endnote w:type="continuationSeparator" w:id="0">
    <w:p w:rsidR="003806D1" w:rsidRDefault="003806D1" w:rsidP="00BB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D1" w:rsidRDefault="003806D1" w:rsidP="00BB4C8F">
      <w:r>
        <w:separator/>
      </w:r>
    </w:p>
  </w:footnote>
  <w:footnote w:type="continuationSeparator" w:id="0">
    <w:p w:rsidR="003806D1" w:rsidRDefault="003806D1" w:rsidP="00BB4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4045"/>
    <w:multiLevelType w:val="hybridMultilevel"/>
    <w:tmpl w:val="C908DEB8"/>
    <w:lvl w:ilvl="0" w:tplc="4B58C01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DF"/>
    <w:rsid w:val="001B3D87"/>
    <w:rsid w:val="003447DF"/>
    <w:rsid w:val="003806D1"/>
    <w:rsid w:val="004F431A"/>
    <w:rsid w:val="00574096"/>
    <w:rsid w:val="007F0653"/>
    <w:rsid w:val="00827958"/>
    <w:rsid w:val="008F4FC8"/>
    <w:rsid w:val="009E306D"/>
    <w:rsid w:val="00A0476E"/>
    <w:rsid w:val="00BB4C8F"/>
    <w:rsid w:val="00C10401"/>
    <w:rsid w:val="00C27675"/>
    <w:rsid w:val="00C770B4"/>
    <w:rsid w:val="00D84528"/>
    <w:rsid w:val="00D97FBE"/>
    <w:rsid w:val="00DD3C57"/>
    <w:rsid w:val="00F67E34"/>
    <w:rsid w:val="00F8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FC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B4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4C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4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4C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FC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B4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4C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4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4C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121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2888334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302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8731111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14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6251033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0852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9561527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FE34-8DA1-440D-8318-791A1C6D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xuexiaobu</dc:creator>
  <cp:keywords/>
  <dc:description/>
  <cp:lastModifiedBy>xuexiaobu</cp:lastModifiedBy>
  <cp:revision>3</cp:revision>
  <dcterms:created xsi:type="dcterms:W3CDTF">2012-02-02T09:55:00Z</dcterms:created>
  <dcterms:modified xsi:type="dcterms:W3CDTF">2012-02-03T06:07:00Z</dcterms:modified>
</cp:coreProperties>
</file>