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header+xml" PartName="/word/header1.xml"/>
  <Default ContentType="image/png" Extension="png"/>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500" w:lineRule="exact"/>
        <w:rPr>
          <w:rFonts w:hint="eastAsia" w:ascii="华文中宋" w:hAnsi="华文中宋" w:eastAsia="华文中宋" w:cs="宋体-PUA"/>
          <w:b/>
          <w:bCs/>
          <w:sz w:val="32"/>
          <w:szCs w:val="32"/>
        </w:rPr>
      </w:pPr>
    </w:p>
    <w:p>
      <w:pPr>
        <w:spacing w:line="500" w:lineRule="exact"/>
        <w:rPr>
          <w:rFonts w:ascii="华文中宋" w:hAnsi="华文中宋" w:eastAsia="华文中宋" w:cs="宋体-PUA"/>
          <w:b/>
          <w:bCs/>
          <w:sz w:val="32"/>
          <w:szCs w:val="32"/>
        </w:rPr>
      </w:pPr>
    </w:p>
    <w:p>
      <w:pPr>
        <w:spacing w:line="500" w:lineRule="exact"/>
        <w:jc w:val="center"/>
        <w:rPr>
          <w:rFonts w:ascii="黑体" w:hAnsi="黑体" w:eastAsia="黑体" w:cs="宋体-PUA"/>
          <w:b/>
          <w:bCs/>
          <w:sz w:val="28"/>
          <w:szCs w:val="28"/>
        </w:rPr>
      </w:pPr>
      <w:r>
        <w:rPr>
          <w:rFonts w:hint="eastAsia" w:ascii="黑体" w:hAnsi="黑体" w:eastAsia="黑体" w:cs="宋体-PUA"/>
          <w:b/>
          <w:bCs/>
          <w:sz w:val="28"/>
          <w:szCs w:val="28"/>
        </w:rPr>
        <w:t>大数据时代背景下拔尖人才的共青团培养创新研究</w:t>
      </w:r>
    </w:p>
    <w:p>
      <w:pPr>
        <w:spacing w:line="500" w:lineRule="exact"/>
        <w:jc w:val="center"/>
        <w:rPr>
          <w:rFonts w:ascii="黑体" w:hAnsi="黑体" w:eastAsia="黑体" w:cs="楷体_GB2312"/>
          <w:sz w:val="24"/>
          <w:szCs w:val="24"/>
        </w:rPr>
      </w:pPr>
      <w:r>
        <w:rPr>
          <w:rFonts w:hint="eastAsia" w:ascii="黑体" w:hAnsi="黑体" w:eastAsia="黑体" w:cs="宋体-PUA"/>
          <w:b/>
          <w:bCs/>
          <w:sz w:val="28"/>
          <w:szCs w:val="28"/>
        </w:rPr>
        <w:t>——</w:t>
      </w:r>
      <w:r>
        <w:rPr>
          <w:rFonts w:hint="eastAsia" w:ascii="黑体" w:hAnsi="黑体" w:eastAsia="黑体" w:cs="楷体_GB2312"/>
          <w:sz w:val="24"/>
          <w:szCs w:val="24"/>
        </w:rPr>
        <w:t>基于华东师范大学“二十一世纪人才学院”的实证研究</w:t>
      </w:r>
    </w:p>
    <w:p>
      <w:pPr>
        <w:spacing w:line="500" w:lineRule="exact"/>
        <w:jc w:val="center"/>
        <w:rPr>
          <w:rFonts w:ascii="黑体" w:hAnsi="黑体" w:eastAsia="黑体" w:cs="宋体-PUA"/>
          <w:b/>
          <w:bCs/>
          <w:sz w:val="24"/>
          <w:szCs w:val="24"/>
        </w:rPr>
      </w:pPr>
    </w:p>
    <w:p>
      <w:pPr>
        <w:spacing w:line="500" w:lineRule="exact"/>
        <w:jc w:val="center"/>
        <w:rPr>
          <w:rFonts w:ascii="黑体" w:hAnsi="黑体" w:eastAsia="黑体" w:cs="楷体_GB2312"/>
          <w:sz w:val="24"/>
          <w:szCs w:val="24"/>
        </w:rPr>
      </w:pPr>
      <w:r>
        <w:rPr>
          <w:rFonts w:hint="eastAsia" w:ascii="黑体" w:hAnsi="黑体" w:eastAsia="黑体" w:cs="楷体_GB2312"/>
          <w:sz w:val="24"/>
          <w:szCs w:val="24"/>
        </w:rPr>
        <w:t>共青团华东师范大学委员会</w:t>
      </w:r>
    </w:p>
    <w:p>
      <w:pPr>
        <w:spacing w:line="500" w:lineRule="exact"/>
        <w:rPr>
          <w:rFonts w:ascii="黑体" w:hAnsi="黑体" w:eastAsia="黑体" w:cs="楷体_GB2312"/>
          <w:sz w:val="28"/>
          <w:szCs w:val="28"/>
        </w:rPr>
      </w:pPr>
    </w:p>
    <w:p>
      <w:pPr>
        <w:spacing w:line="500" w:lineRule="exact"/>
        <w:ind w:firstLine="472" w:firstLineChars="196"/>
        <w:rPr>
          <w:rFonts w:ascii="仿宋" w:hAnsi="仿宋" w:eastAsia="仿宋" w:cs="楷体_GB2312"/>
          <w:sz w:val="24"/>
          <w:szCs w:val="24"/>
        </w:rPr>
      </w:pPr>
      <w:r>
        <w:rPr>
          <w:rFonts w:hint="eastAsia" w:ascii="仿宋" w:hAnsi="仿宋" w:eastAsia="仿宋" w:cs="楷体_GB2312"/>
          <w:b/>
          <w:bCs/>
          <w:sz w:val="24"/>
          <w:szCs w:val="24"/>
        </w:rPr>
        <w:t>【内容摘要】</w:t>
      </w:r>
      <w:r>
        <w:rPr>
          <w:rFonts w:hint="eastAsia" w:ascii="仿宋" w:hAnsi="仿宋" w:eastAsia="仿宋" w:cs="楷体_GB2312"/>
          <w:sz w:val="24"/>
          <w:szCs w:val="24"/>
        </w:rPr>
        <w:t>随着全球化步伐加快，综合国力的竞争主要体现在人才的竞争上</w:t>
      </w:r>
      <w:r>
        <w:rPr>
          <w:rFonts w:ascii="仿宋" w:hAnsi="仿宋" w:eastAsia="仿宋" w:cs="楷体_GB2312"/>
          <w:sz w:val="24"/>
          <w:szCs w:val="24"/>
        </w:rPr>
        <w:t xml:space="preserve">, </w:t>
      </w:r>
      <w:r>
        <w:rPr>
          <w:rFonts w:hint="eastAsia" w:ascii="仿宋" w:hAnsi="仿宋" w:eastAsia="仿宋" w:cs="楷体_GB2312"/>
          <w:sz w:val="24"/>
          <w:szCs w:val="24"/>
        </w:rPr>
        <w:t>因而培养拔尖人才也成为提升我国核心竞争力的重要抓手。</w:t>
      </w:r>
      <w:r>
        <w:rPr>
          <w:rFonts w:hint="eastAsia" w:ascii="仿宋" w:hAnsi="仿宋" w:eastAsia="仿宋" w:cs="仿宋_GB2312"/>
          <w:sz w:val="24"/>
          <w:szCs w:val="24"/>
        </w:rPr>
        <w:t>当下社会正处在由“小数据”时代向“大数据”时代的转变过程，高校拔尖人才的共青团培养模式也因此面临新的</w:t>
      </w:r>
      <w:r>
        <w:rPr>
          <w:rFonts w:hint="eastAsia" w:ascii="仿宋" w:hAnsi="仿宋" w:eastAsia="仿宋"/>
          <w:sz w:val="24"/>
          <w:szCs w:val="24"/>
        </w:rPr>
        <w:t>挑战。</w:t>
      </w:r>
      <w:r>
        <w:rPr>
          <w:rFonts w:hint="eastAsia" w:ascii="仿宋" w:hAnsi="仿宋" w:eastAsia="仿宋" w:cs="楷体_GB2312"/>
          <w:sz w:val="24"/>
          <w:szCs w:val="24"/>
        </w:rPr>
        <w:t>本文运用问卷调查、文献研究等手段，通过把握共青团在拔尖人才培养上的现状，探究其面临的机遇与挑战，并在此基础上开展对华东师范大学“二十一世纪人才学院”的实证调研，结合大数据时代背景及“二十一世纪人才学院”特有情况，力求探寻一条与时俱进的有关拔尖人才培养的共青团培养路径。</w:t>
      </w:r>
    </w:p>
    <w:p>
      <w:pPr>
        <w:spacing w:line="500" w:lineRule="exact"/>
        <w:ind w:firstLine="470" w:firstLineChars="196"/>
        <w:rPr>
          <w:rFonts w:ascii="仿宋" w:hAnsi="仿宋" w:eastAsia="仿宋" w:cs="楷体_GB2312"/>
          <w:sz w:val="24"/>
          <w:szCs w:val="24"/>
        </w:rPr>
      </w:pPr>
    </w:p>
    <w:p>
      <w:pPr>
        <w:spacing w:line="500" w:lineRule="exact"/>
        <w:ind w:firstLine="470" w:firstLineChars="196"/>
        <w:rPr>
          <w:rFonts w:ascii="仿宋" w:hAnsi="仿宋" w:eastAsia="仿宋" w:cs="楷体_GB2312"/>
          <w:sz w:val="24"/>
          <w:szCs w:val="24"/>
        </w:rPr>
      </w:pPr>
    </w:p>
    <w:p>
      <w:pPr>
        <w:spacing w:line="500" w:lineRule="exact"/>
        <w:ind w:firstLine="482" w:firstLineChars="200"/>
        <w:jc w:val="left"/>
        <w:rPr>
          <w:rFonts w:ascii="仿宋" w:hAnsi="仿宋" w:eastAsia="仿宋" w:cs="楷体_GB2312"/>
          <w:b/>
          <w:bCs/>
          <w:sz w:val="24"/>
          <w:szCs w:val="24"/>
        </w:rPr>
      </w:pPr>
      <w:r>
        <w:rPr>
          <w:rFonts w:hint="eastAsia" w:ascii="仿宋" w:hAnsi="仿宋" w:eastAsia="仿宋" w:cs="楷体_GB2312"/>
          <w:b/>
          <w:bCs/>
          <w:sz w:val="24"/>
          <w:szCs w:val="24"/>
        </w:rPr>
        <w:t>【关 键 词】</w:t>
      </w:r>
      <w:r>
        <w:rPr>
          <w:rFonts w:hint="eastAsia" w:ascii="仿宋" w:hAnsi="仿宋" w:eastAsia="仿宋" w:cs="楷体_GB2312"/>
          <w:sz w:val="24"/>
          <w:szCs w:val="24"/>
        </w:rPr>
        <w:t>大数据时代</w:t>
      </w:r>
      <w:r>
        <w:rPr>
          <w:rFonts w:ascii="仿宋" w:hAnsi="仿宋" w:eastAsia="仿宋" w:cs="楷体_GB2312"/>
          <w:sz w:val="24"/>
          <w:szCs w:val="24"/>
        </w:rPr>
        <w:t xml:space="preserve">   拔尖人才  </w:t>
      </w:r>
      <w:r>
        <w:rPr>
          <w:rFonts w:hint="eastAsia" w:ascii="仿宋" w:hAnsi="仿宋" w:eastAsia="仿宋" w:cs="楷体_GB2312"/>
          <w:sz w:val="24"/>
          <w:szCs w:val="24"/>
        </w:rPr>
        <w:t>共青团培养路径</w:t>
      </w:r>
    </w:p>
    <w:p>
      <w:pPr>
        <w:spacing w:line="500" w:lineRule="exact"/>
        <w:jc w:val="left"/>
        <w:rPr>
          <w:rFonts w:ascii="楷体_GB2312" w:hAnsi="楷体_GB2312" w:eastAsia="楷体_GB2312" w:cs="楷体_GB2312"/>
          <w:sz w:val="24"/>
          <w:szCs w:val="24"/>
        </w:rPr>
      </w:pPr>
    </w:p>
    <w:p>
      <w:pPr>
        <w:spacing w:line="500" w:lineRule="exact"/>
        <w:jc w:val="left"/>
        <w:rPr>
          <w:rFonts w:ascii="楷体_GB2312" w:hAnsi="楷体_GB2312" w:eastAsia="楷体_GB2312" w:cs="楷体_GB2312"/>
          <w:sz w:val="24"/>
          <w:szCs w:val="24"/>
        </w:rPr>
      </w:pPr>
    </w:p>
    <w:p>
      <w:pPr>
        <w:spacing w:line="500" w:lineRule="exact"/>
        <w:jc w:val="left"/>
        <w:rPr>
          <w:rFonts w:ascii="楷体_GB2312" w:hAnsi="楷体_GB2312" w:eastAsia="楷体_GB2312" w:cs="楷体_GB2312"/>
          <w:sz w:val="24"/>
          <w:szCs w:val="24"/>
        </w:rPr>
      </w:pPr>
    </w:p>
    <w:p>
      <w:pPr>
        <w:spacing w:line="500" w:lineRule="exact"/>
        <w:jc w:val="left"/>
        <w:rPr>
          <w:rFonts w:ascii="楷体_GB2312" w:hAnsi="楷体_GB2312" w:eastAsia="楷体_GB2312" w:cs="楷体_GB2312"/>
          <w:sz w:val="24"/>
          <w:szCs w:val="24"/>
        </w:rPr>
      </w:pPr>
    </w:p>
    <w:p>
      <w:pPr>
        <w:spacing w:line="500" w:lineRule="exact"/>
        <w:jc w:val="left"/>
        <w:rPr>
          <w:rFonts w:ascii="楷体_GB2312" w:hAnsi="楷体_GB2312" w:eastAsia="楷体_GB2312" w:cs="楷体_GB2312"/>
          <w:sz w:val="24"/>
          <w:szCs w:val="24"/>
        </w:rPr>
      </w:pPr>
    </w:p>
    <w:p>
      <w:pPr>
        <w:pStyle w:val="14"/>
        <w:spacing w:line="500" w:lineRule="exact"/>
        <w:rPr>
          <w:rFonts w:ascii="黑体" w:hAnsi="黑体" w:eastAsia="黑体"/>
          <w:sz w:val="28"/>
          <w:szCs w:val="28"/>
        </w:rPr>
      </w:pPr>
      <w:bookmarkStart w:id="0" w:name="_Toc402362571"/>
      <w:r>
        <w:rPr>
          <w:rFonts w:hint="eastAsia" w:ascii="黑体" w:hAnsi="黑体" w:eastAsia="黑体"/>
          <w:sz w:val="28"/>
          <w:szCs w:val="28"/>
        </w:rPr>
        <w:t>一、</w:t>
      </w:r>
      <w:bookmarkStart w:id="1" w:name="_Toc14986"/>
      <w:bookmarkEnd w:id="0"/>
      <w:r>
        <w:rPr>
          <w:rFonts w:hint="eastAsia" w:ascii="黑体" w:hAnsi="黑体" w:eastAsia="黑体"/>
          <w:sz w:val="28"/>
          <w:szCs w:val="28"/>
        </w:rPr>
        <w:t>前言</w:t>
      </w:r>
      <w:bookmarkStart w:id="2" w:name="_Toc402362572"/>
    </w:p>
    <w:p>
      <w:pPr>
        <w:pStyle w:val="14"/>
        <w:spacing w:line="500" w:lineRule="exact"/>
        <w:jc w:val="left"/>
        <w:rPr>
          <w:sz w:val="24"/>
          <w:szCs w:val="24"/>
        </w:rPr>
      </w:pPr>
      <w:r>
        <w:rPr>
          <w:rFonts w:hint="eastAsia"/>
          <w:sz w:val="24"/>
          <w:szCs w:val="24"/>
        </w:rPr>
        <w:t xml:space="preserve">    （一）研究背景</w:t>
      </w:r>
      <w:bookmarkEnd w:id="1"/>
      <w:bookmarkEnd w:id="2"/>
      <w:r>
        <w:rPr>
          <w:rFonts w:hint="eastAsia"/>
          <w:sz w:val="24"/>
          <w:szCs w:val="24"/>
        </w:rPr>
        <w:t>与问题的提出</w:t>
      </w:r>
    </w:p>
    <w:p>
      <w:pPr>
        <w:spacing w:line="500" w:lineRule="exact"/>
        <w:ind w:firstLine="480" w:firstLineChars="200"/>
        <w:rPr>
          <w:rFonts w:ascii="仿宋" w:hAnsi="仿宋" w:eastAsia="仿宋"/>
          <w:sz w:val="24"/>
          <w:szCs w:val="24"/>
        </w:rPr>
      </w:pPr>
      <w:r>
        <w:rPr>
          <w:rFonts w:hint="eastAsia" w:ascii="仿宋" w:hAnsi="仿宋" w:eastAsia="仿宋"/>
          <w:sz w:val="24"/>
          <w:szCs w:val="24"/>
        </w:rPr>
        <w:t>随着全球化步伐加快，综合国力的竞争主要体现在人才的竞争上,培养拔尖人才也成为提升国家核心竞争力的重要抓手。进入</w:t>
      </w:r>
      <w:r>
        <w:rPr>
          <w:rFonts w:ascii="Times New Roman" w:hAnsi="Times New Roman" w:cs="Times New Roman"/>
          <w:sz w:val="24"/>
          <w:szCs w:val="24"/>
        </w:rPr>
        <w:t>21</w:t>
      </w:r>
      <w:r>
        <w:rPr>
          <w:rFonts w:hint="eastAsia" w:ascii="仿宋" w:hAnsi="仿宋" w:eastAsia="仿宋"/>
          <w:sz w:val="24"/>
          <w:szCs w:val="24"/>
        </w:rPr>
        <w:t>世纪，新世纪的中国需要怎样的人才，如何培养符合新时代发展需要的高素质人才，也成为当代教育尤其是当代高等教育推进过程中不得不思考的命题。在党的十八大报告中，重申了</w:t>
      </w:r>
      <w:r>
        <w:rPr>
          <w:rFonts w:ascii="仿宋" w:hAnsi="仿宋" w:eastAsia="仿宋"/>
          <w:b/>
          <w:sz w:val="24"/>
          <w:szCs w:val="24"/>
        </w:rPr>
        <w:t>“</w:t>
      </w:r>
      <w:r>
        <w:rPr>
          <w:rFonts w:hint="eastAsia" w:ascii="仿宋" w:hAnsi="仿宋" w:eastAsia="仿宋"/>
          <w:b/>
          <w:sz w:val="24"/>
          <w:szCs w:val="24"/>
        </w:rPr>
        <w:t>推动我国由人才大国迈向人才强国</w:t>
      </w:r>
      <w:r>
        <w:rPr>
          <w:rFonts w:ascii="仿宋" w:hAnsi="仿宋" w:eastAsia="仿宋"/>
          <w:b/>
          <w:sz w:val="24"/>
          <w:szCs w:val="24"/>
        </w:rPr>
        <w:t>”</w:t>
      </w:r>
      <w:r>
        <w:rPr>
          <w:rFonts w:hint="eastAsia" w:ascii="仿宋" w:hAnsi="仿宋" w:eastAsia="仿宋"/>
          <w:sz w:val="24"/>
          <w:szCs w:val="24"/>
        </w:rPr>
        <w:t>的总体目标，进一步明确了</w:t>
      </w:r>
      <w:r>
        <w:rPr>
          <w:rFonts w:ascii="仿宋" w:hAnsi="仿宋" w:eastAsia="仿宋"/>
          <w:sz w:val="24"/>
          <w:szCs w:val="24"/>
        </w:rPr>
        <w:t>“</w:t>
      </w:r>
      <w:r>
        <w:rPr>
          <w:rFonts w:hint="eastAsia" w:ascii="仿宋" w:hAnsi="仿宋" w:eastAsia="仿宋"/>
          <w:sz w:val="24"/>
          <w:szCs w:val="24"/>
        </w:rPr>
        <w:t>加快确立人才优先发展战略布局</w:t>
      </w:r>
      <w:r>
        <w:rPr>
          <w:rFonts w:ascii="仿宋" w:hAnsi="仿宋" w:eastAsia="仿宋"/>
          <w:sz w:val="24"/>
          <w:szCs w:val="24"/>
        </w:rPr>
        <w:t>”</w:t>
      </w:r>
      <w:r>
        <w:rPr>
          <w:rFonts w:hint="eastAsia" w:ascii="仿宋" w:hAnsi="仿宋" w:eastAsia="仿宋"/>
          <w:sz w:val="24"/>
          <w:szCs w:val="24"/>
        </w:rPr>
        <w:t>、</w:t>
      </w:r>
      <w:r>
        <w:rPr>
          <w:rFonts w:ascii="仿宋" w:hAnsi="仿宋" w:eastAsia="仿宋"/>
          <w:sz w:val="24"/>
          <w:szCs w:val="24"/>
        </w:rPr>
        <w:t>“</w:t>
      </w:r>
      <w:r>
        <w:rPr>
          <w:rFonts w:hint="eastAsia" w:ascii="仿宋" w:hAnsi="仿宋" w:eastAsia="仿宋"/>
          <w:sz w:val="24"/>
          <w:szCs w:val="24"/>
        </w:rPr>
        <w:t>加大创新人才培养支持力度</w:t>
      </w:r>
      <w:r>
        <w:rPr>
          <w:rFonts w:ascii="仿宋" w:hAnsi="仿宋" w:eastAsia="仿宋"/>
          <w:sz w:val="24"/>
          <w:szCs w:val="24"/>
        </w:rPr>
        <w:t>”</w:t>
      </w:r>
      <w:r>
        <w:rPr>
          <w:rFonts w:hint="eastAsia" w:ascii="仿宋" w:hAnsi="仿宋" w:eastAsia="仿宋"/>
          <w:sz w:val="24"/>
          <w:szCs w:val="24"/>
        </w:rPr>
        <w:t>的具体要求，而</w:t>
      </w:r>
      <w:r>
        <w:rPr>
          <w:rFonts w:ascii="仿宋" w:hAnsi="仿宋" w:eastAsia="仿宋"/>
          <w:b/>
          <w:sz w:val="24"/>
          <w:szCs w:val="24"/>
        </w:rPr>
        <w:t>“</w:t>
      </w:r>
      <w:r>
        <w:rPr>
          <w:rFonts w:hint="eastAsia" w:ascii="仿宋" w:hAnsi="仿宋" w:eastAsia="仿宋"/>
          <w:b/>
          <w:sz w:val="24"/>
          <w:szCs w:val="24"/>
        </w:rPr>
        <w:t>着力提高教育质量，培养学生创新精神</w:t>
      </w:r>
      <w:r>
        <w:rPr>
          <w:rFonts w:ascii="仿宋" w:hAnsi="仿宋" w:eastAsia="仿宋"/>
          <w:b/>
          <w:sz w:val="24"/>
          <w:szCs w:val="24"/>
        </w:rPr>
        <w:t>”</w:t>
      </w:r>
      <w:r>
        <w:rPr>
          <w:rFonts w:hint="eastAsia" w:ascii="仿宋" w:hAnsi="仿宋" w:eastAsia="仿宋"/>
          <w:sz w:val="24"/>
          <w:szCs w:val="24"/>
        </w:rPr>
        <w:t>亦成为十八大报告对作为创新人才培养主要园地的学校教育提出的总体要求。</w:t>
      </w:r>
    </w:p>
    <w:p>
      <w:pPr>
        <w:widowControl/>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132"/>
        </w:tabs>
        <w:spacing w:line="500" w:lineRule="exact"/>
        <w:rPr>
          <w:rFonts w:ascii="仿宋" w:hAnsi="仿宋" w:eastAsia="仿宋"/>
          <w:sz w:val="24"/>
          <w:szCs w:val="24"/>
        </w:rPr>
      </w:pPr>
      <w:r>
        <w:rPr>
          <w:rFonts w:hint="eastAsia" w:ascii="仿宋" w:hAnsi="仿宋" w:eastAsia="仿宋"/>
          <w:sz w:val="24"/>
          <w:szCs w:val="24"/>
        </w:rPr>
        <w:t xml:space="preserve">    </w:t>
      </w:r>
      <w:r>
        <w:rPr>
          <w:rFonts w:ascii="仿宋" w:hAnsi="仿宋" w:eastAsia="仿宋"/>
          <w:sz w:val="24"/>
          <w:szCs w:val="24"/>
        </w:rPr>
        <w:t>华东师范大学</w:t>
      </w:r>
      <w:r>
        <w:rPr>
          <w:rFonts w:hint="eastAsia" w:ascii="仿宋" w:hAnsi="仿宋" w:eastAsia="仿宋"/>
          <w:sz w:val="24"/>
          <w:szCs w:val="24"/>
        </w:rPr>
        <w:t>“</w:t>
      </w:r>
      <w:r>
        <w:rPr>
          <w:rFonts w:ascii="仿宋" w:hAnsi="仿宋" w:eastAsia="仿宋"/>
          <w:sz w:val="24"/>
          <w:szCs w:val="24"/>
        </w:rPr>
        <w:t>二十一世纪人才学院</w:t>
      </w:r>
      <w:r>
        <w:rPr>
          <w:rFonts w:hint="eastAsia" w:ascii="仿宋" w:hAnsi="仿宋" w:eastAsia="仿宋"/>
          <w:sz w:val="24"/>
          <w:szCs w:val="24"/>
        </w:rPr>
        <w:t>”</w:t>
      </w:r>
      <w:r>
        <w:rPr>
          <w:rFonts w:ascii="仿宋" w:hAnsi="仿宋" w:eastAsia="仿宋"/>
          <w:sz w:val="24"/>
          <w:szCs w:val="24"/>
        </w:rPr>
        <w:t>成立于</w:t>
      </w:r>
      <w:r>
        <w:rPr>
          <w:rFonts w:ascii="Times New Roman" w:hAnsi="Times New Roman" w:cs="Times New Roman"/>
          <w:sz w:val="24"/>
          <w:szCs w:val="24"/>
        </w:rPr>
        <w:t>1994</w:t>
      </w:r>
      <w:r>
        <w:rPr>
          <w:rFonts w:hint="eastAsia" w:ascii="仿宋" w:hAnsi="仿宋" w:eastAsia="仿宋"/>
          <w:sz w:val="24"/>
          <w:szCs w:val="24"/>
        </w:rPr>
        <w:t>年，旨在为给党和国家发掘、培养、输送符合新世纪、新形势发展要求的优秀人才，本着以</w:t>
      </w:r>
      <w:r>
        <w:rPr>
          <w:rFonts w:ascii="仿宋" w:hAnsi="仿宋" w:eastAsia="仿宋"/>
          <w:sz w:val="24"/>
          <w:szCs w:val="24"/>
        </w:rPr>
        <w:t>“</w:t>
      </w:r>
      <w:r>
        <w:rPr>
          <w:rFonts w:hint="eastAsia" w:ascii="仿宋" w:hAnsi="仿宋" w:eastAsia="仿宋"/>
          <w:sz w:val="24"/>
          <w:szCs w:val="24"/>
        </w:rPr>
        <w:t>信念引导人、知识塑造人、实践锻炼人、能力培养人</w:t>
      </w:r>
      <w:r>
        <w:rPr>
          <w:rFonts w:ascii="仿宋" w:hAnsi="仿宋" w:eastAsia="仿宋"/>
          <w:sz w:val="24"/>
          <w:szCs w:val="24"/>
        </w:rPr>
        <w:t>”</w:t>
      </w:r>
      <w:r>
        <w:rPr>
          <w:rFonts w:hint="eastAsia" w:ascii="仿宋" w:hAnsi="仿宋" w:eastAsia="仿宋"/>
          <w:sz w:val="24"/>
          <w:szCs w:val="24"/>
        </w:rPr>
        <w:t>的宗旨，在全国首创性地建立了大学跨学科、多领域的精英、复合型人才培育模式。二十年来，</w:t>
      </w:r>
      <w:r>
        <w:rPr>
          <w:rFonts w:ascii="仿宋" w:hAnsi="仿宋" w:eastAsia="仿宋"/>
          <w:sz w:val="24"/>
          <w:szCs w:val="24"/>
        </w:rPr>
        <w:t>“</w:t>
      </w:r>
      <w:r>
        <w:rPr>
          <w:rFonts w:hint="eastAsia" w:ascii="仿宋" w:hAnsi="仿宋" w:eastAsia="仿宋"/>
          <w:sz w:val="24"/>
          <w:szCs w:val="24"/>
        </w:rPr>
        <w:t>二十一世纪人才学院</w:t>
      </w:r>
      <w:r>
        <w:rPr>
          <w:rFonts w:ascii="仿宋" w:hAnsi="仿宋" w:eastAsia="仿宋"/>
          <w:sz w:val="24"/>
          <w:szCs w:val="24"/>
        </w:rPr>
        <w:t>”</w:t>
      </w:r>
      <w:r>
        <w:rPr>
          <w:rFonts w:hint="eastAsia" w:ascii="仿宋" w:hAnsi="仿宋" w:eastAsia="仿宋"/>
          <w:sz w:val="24"/>
          <w:szCs w:val="24"/>
        </w:rPr>
        <w:t>由华东师范大学党委书记、校长任名誉院长，分管学生工作校党委副书记任院长，校团委书记任常务副院长。联合包括党委组织部、教务处、科技处、社科处、学生管理处（原学工部、学生处、研工部、研究生院管理处）、学生发展服务联合中心、团委在内的多家职能部门联动支持，通过选拔和培养各学科、各年级的优秀学生，服务学校拔尖创新人才培养战略，为上海市、为国家输送了大批素质精良、发展全面的优秀人才。</w:t>
      </w:r>
    </w:p>
    <w:p>
      <w:pPr>
        <w:spacing w:line="500" w:lineRule="exact"/>
        <w:ind w:firstLine="480" w:firstLineChars="200"/>
        <w:rPr>
          <w:rFonts w:ascii="仿宋" w:hAnsi="仿宋" w:eastAsia="仿宋" w:cs="仿宋_GB2312"/>
          <w:sz w:val="24"/>
          <w:szCs w:val="24"/>
        </w:rPr>
      </w:pPr>
      <w:r>
        <w:rPr>
          <w:rFonts w:hint="eastAsia" w:ascii="仿宋" w:hAnsi="仿宋" w:eastAsia="仿宋" w:cs="仿宋_GB2312"/>
          <w:sz w:val="24"/>
          <w:szCs w:val="24"/>
        </w:rPr>
        <w:t>而在当下，随着人口增长，互联网用户和手机持有量的增加，各种新的、强大的数据源会持续爆炸式地增长，它们将对人们的生活、工作和思维产生巨大影响。每一个行业都将出现或者已经出现至少一种崭新的数据源，这些数据源拥有一个共同的名字——大数据。大数据已成为人们获得新知识、创造新价值的源泉，成为改变人才市场、组织机构以及政府和公民关系的方法。</w:t>
      </w:r>
      <w:r>
        <w:rPr>
          <w:rFonts w:ascii="仿宋" w:hAnsi="仿宋" w:eastAsia="仿宋"/>
          <w:sz w:val="24"/>
          <w:szCs w:val="24"/>
        </w:rPr>
        <w:t>随着大数据时代的到来，</w:t>
      </w:r>
      <w:r>
        <w:rPr>
          <w:rFonts w:ascii="仿宋" w:hAnsi="仿宋" w:eastAsia="仿宋"/>
          <w:b/>
          <w:sz w:val="24"/>
          <w:szCs w:val="24"/>
        </w:rPr>
        <w:t>当数据越来越成为人们获得新知识、创造新价值的源泉，当青年与世界的交流因互联网的高度发达而变得前所未有的便捷和深入，当青年与多元观念的碰撞也前所未有的激烈的背景下，随之而来的是既有的人才选拔机制、人才培养模式、人才评价要素越来越面对诸多挑战，</w:t>
      </w:r>
      <w:r>
        <w:rPr>
          <w:rFonts w:ascii="仿宋" w:hAnsi="仿宋" w:eastAsia="仿宋"/>
          <w:sz w:val="24"/>
          <w:szCs w:val="24"/>
        </w:rPr>
        <w:t>只有正视大数据时代背景下既有共青团人才培养工作模式中遇到的瓶颈和挑战，华东师范大学共青团育人工作方能秉承“二十一世纪人才学院”建院之时的首创精神，顺势而为，与时俱进，持续保持其在拔尖人才培养方面的特色与优势。</w:t>
      </w:r>
    </w:p>
    <w:p>
      <w:pPr>
        <w:pStyle w:val="14"/>
        <w:spacing w:line="500" w:lineRule="exact"/>
        <w:jc w:val="left"/>
        <w:rPr>
          <w:sz w:val="24"/>
          <w:szCs w:val="24"/>
        </w:rPr>
      </w:pPr>
      <w:bookmarkStart w:id="3" w:name="_Toc23777"/>
      <w:bookmarkStart w:id="4" w:name="_Toc9489"/>
      <w:bookmarkStart w:id="5" w:name="_Toc402362573"/>
      <w:r>
        <w:rPr>
          <w:rFonts w:hint="eastAsia"/>
          <w:sz w:val="24"/>
          <w:szCs w:val="24"/>
        </w:rPr>
        <w:t>（二）研究意义</w:t>
      </w:r>
      <w:bookmarkEnd w:id="3"/>
      <w:bookmarkEnd w:id="4"/>
      <w:bookmarkEnd w:id="5"/>
    </w:p>
    <w:p>
      <w:pPr>
        <w:autoSpaceDE w:val="0"/>
        <w:autoSpaceDN w:val="0"/>
        <w:spacing w:line="500" w:lineRule="exact"/>
        <w:ind w:firstLine="482" w:firstLineChars="200"/>
        <w:rPr>
          <w:rFonts w:ascii="仿宋" w:hAnsi="仿宋" w:eastAsia="仿宋" w:cs="仿宋_GB2312"/>
          <w:sz w:val="24"/>
          <w:szCs w:val="24"/>
        </w:rPr>
      </w:pPr>
      <w:r>
        <w:rPr>
          <w:rFonts w:hint="eastAsia" w:ascii="仿宋_GB2312" w:hAnsi="仿宋_GB2312" w:eastAsia="仿宋_GB2312" w:cs="仿宋_GB2312"/>
          <w:b/>
          <w:sz w:val="24"/>
          <w:szCs w:val="24"/>
        </w:rPr>
        <w:t>1、理论意义：</w:t>
      </w:r>
      <w:r>
        <w:rPr>
          <w:rFonts w:hint="eastAsia" w:ascii="仿宋" w:hAnsi="仿宋" w:eastAsia="仿宋" w:cs="仿宋_GB2312"/>
          <w:sz w:val="24"/>
          <w:szCs w:val="24"/>
        </w:rPr>
        <w:t>习近平总书记指出，团的工作要把握根本性问题，把培养中国特色社会主义事业建设者和接班人作为根本任务，把巩固和扩大党执政的青年群众基础作为政治责任，把围绕中心、服务大局作为工作主线。这是历史赋予共青团的特殊性。因而探讨大数据时代背景下高校拔尖人才共青团培养路径，更是实现共青团工作时代使命的题中之义。</w:t>
      </w:r>
    </w:p>
    <w:p>
      <w:pPr>
        <w:spacing w:line="500" w:lineRule="exact"/>
        <w:ind w:firstLine="482" w:firstLineChars="200"/>
        <w:rPr>
          <w:rFonts w:ascii="仿宋" w:hAnsi="仿宋" w:eastAsia="仿宋" w:cs="仿宋"/>
          <w:sz w:val="24"/>
          <w:szCs w:val="24"/>
          <w:lang w:val="zh-TW" w:eastAsia="zh-TW"/>
        </w:rPr>
      </w:pPr>
      <w:r>
        <w:rPr>
          <w:rFonts w:hint="eastAsia" w:ascii="仿宋_GB2312" w:hAnsi="仿宋_GB2312" w:eastAsia="仿宋_GB2312" w:cs="仿宋_GB2312"/>
          <w:b/>
          <w:sz w:val="24"/>
          <w:szCs w:val="24"/>
        </w:rPr>
        <w:t>2、实践意义：</w:t>
      </w:r>
      <w:r>
        <w:rPr>
          <w:rFonts w:hint="eastAsia" w:ascii="仿宋" w:hAnsi="仿宋" w:eastAsia="仿宋" w:cs="Times New Roman"/>
          <w:sz w:val="24"/>
          <w:szCs w:val="24"/>
        </w:rPr>
        <w:t>华东师范大学“二十一世纪人才学院”</w:t>
      </w:r>
      <w:r>
        <w:rPr>
          <w:rFonts w:hint="eastAsia" w:ascii="仿宋" w:hAnsi="仿宋" w:eastAsia="仿宋" w:cs="仿宋"/>
          <w:sz w:val="24"/>
          <w:szCs w:val="24"/>
          <w:lang w:val="zh-TW" w:eastAsia="zh-TW"/>
        </w:rPr>
        <w:t>作为全国高校</w:t>
      </w:r>
      <w:r>
        <w:rPr>
          <w:rFonts w:hint="eastAsia" w:ascii="仿宋" w:hAnsi="仿宋" w:eastAsia="仿宋" w:cs="仿宋"/>
          <w:sz w:val="24"/>
          <w:szCs w:val="24"/>
          <w:lang w:val="zh-TW"/>
        </w:rPr>
        <w:t>共青团</w:t>
      </w:r>
      <w:r>
        <w:rPr>
          <w:rFonts w:hint="eastAsia" w:ascii="仿宋" w:hAnsi="仿宋" w:eastAsia="仿宋" w:cs="仿宋"/>
          <w:sz w:val="24"/>
          <w:szCs w:val="24"/>
          <w:lang w:val="zh-TW" w:eastAsia="zh-TW"/>
        </w:rPr>
        <w:t>中创办最早、时间最长的优秀人才培养组织。不断顺应时代发展潮流</w:t>
      </w:r>
      <w:r>
        <w:rPr>
          <w:rFonts w:hint="eastAsia" w:ascii="仿宋" w:hAnsi="仿宋" w:eastAsia="仿宋" w:cs="仿宋"/>
          <w:sz w:val="24"/>
          <w:szCs w:val="24"/>
          <w:lang w:val="zh-TW"/>
        </w:rPr>
        <w:t>、</w:t>
      </w:r>
      <w:r>
        <w:rPr>
          <w:rFonts w:hint="eastAsia" w:ascii="仿宋" w:hAnsi="仿宋" w:eastAsia="仿宋" w:cs="仿宋"/>
          <w:sz w:val="24"/>
          <w:szCs w:val="24"/>
          <w:lang w:val="zh-TW" w:eastAsia="zh-TW"/>
        </w:rPr>
        <w:t>改革创新人才培养方式，始终走在国内精英人才培养的前列。学院人才培养方法被上海</w:t>
      </w:r>
      <w:r>
        <w:rPr>
          <w:rFonts w:hint="eastAsia" w:ascii="仿宋" w:hAnsi="仿宋" w:eastAsia="仿宋" w:cs="仿宋"/>
          <w:sz w:val="24"/>
          <w:szCs w:val="24"/>
          <w:lang w:val="zh-TW"/>
        </w:rPr>
        <w:t>市共青团</w:t>
      </w:r>
      <w:r>
        <w:rPr>
          <w:rFonts w:hint="eastAsia" w:ascii="仿宋" w:hAnsi="仿宋" w:eastAsia="仿宋" w:cs="仿宋"/>
          <w:sz w:val="24"/>
          <w:szCs w:val="24"/>
          <w:lang w:val="zh-TW" w:eastAsia="zh-TW"/>
        </w:rPr>
        <w:t>命名为“人才学院工作法”。</w:t>
      </w:r>
      <w:r>
        <w:rPr>
          <w:rFonts w:hint="eastAsia" w:ascii="仿宋" w:hAnsi="仿宋" w:eastAsia="仿宋" w:cs="Times New Roman"/>
          <w:sz w:val="24"/>
          <w:szCs w:val="24"/>
        </w:rPr>
        <w:t>因而以“二十一世纪人才学院”为案例，探究大数据时代背景下高校拔尖人才培养的共青团路径，对于其他高校共青团推进育人工作亦具有一定的借鉴和参考价值。</w:t>
      </w:r>
    </w:p>
    <w:p>
      <w:pPr>
        <w:pStyle w:val="14"/>
        <w:spacing w:line="500" w:lineRule="exact"/>
        <w:jc w:val="left"/>
        <w:rPr>
          <w:rFonts w:ascii="仿宋" w:hAnsi="仿宋" w:eastAsia="仿宋"/>
          <w:sz w:val="24"/>
          <w:szCs w:val="24"/>
        </w:rPr>
      </w:pPr>
      <w:bookmarkStart w:id="6" w:name="_Toc2400"/>
      <w:bookmarkStart w:id="7" w:name="_Toc31856"/>
      <w:bookmarkStart w:id="8" w:name="_Toc402362575"/>
      <w:r>
        <w:rPr>
          <w:rFonts w:hint="eastAsia"/>
          <w:sz w:val="24"/>
          <w:szCs w:val="24"/>
        </w:rPr>
        <w:t>（三）核心概念界定</w:t>
      </w:r>
      <w:bookmarkEnd w:id="6"/>
      <w:bookmarkEnd w:id="7"/>
      <w:bookmarkEnd w:id="8"/>
    </w:p>
    <w:p>
      <w:pPr>
        <w:spacing w:line="500" w:lineRule="exact"/>
        <w:ind w:firstLine="354" w:firstLineChars="147"/>
        <w:rPr>
          <w:rFonts w:ascii="仿宋" w:hAnsi="仿宋" w:eastAsia="仿宋" w:cs="Times New Roman"/>
          <w:sz w:val="24"/>
          <w:szCs w:val="24"/>
        </w:rPr>
      </w:pPr>
      <w:r>
        <w:rPr>
          <w:rFonts w:hint="eastAsia" w:ascii="仿宋_GB2312" w:hAnsi="仿宋_GB2312" w:eastAsia="仿宋_GB2312" w:cs="仿宋_GB2312"/>
          <w:b/>
          <w:sz w:val="24"/>
          <w:szCs w:val="24"/>
        </w:rPr>
        <w:t>“大数据”</w:t>
      </w:r>
      <w:r>
        <w:rPr>
          <w:rFonts w:hint="eastAsia" w:ascii="仿宋_GB2312" w:hAnsi="仿宋_GB2312" w:eastAsia="仿宋_GB2312" w:cs="仿宋_GB2312"/>
          <w:sz w:val="24"/>
          <w:szCs w:val="24"/>
        </w:rPr>
        <w:t>：</w:t>
      </w:r>
      <w:r>
        <w:rPr>
          <w:rFonts w:hint="eastAsia" w:ascii="仿宋" w:hAnsi="仿宋" w:eastAsia="仿宋" w:cs="Times New Roman"/>
          <w:sz w:val="24"/>
          <w:szCs w:val="24"/>
        </w:rPr>
        <w:t>“大数据”并未有学界统一的定义，一般意义上而言，“大数据”</w:t>
      </w:r>
      <w:r>
        <w:rPr>
          <w:rFonts w:ascii="Times New Roman" w:hAnsi="仿宋" w:eastAsia="仿宋" w:cs="Times New Roman"/>
          <w:sz w:val="24"/>
          <w:szCs w:val="24"/>
        </w:rPr>
        <w:t>（</w:t>
      </w:r>
      <w:r>
        <w:rPr>
          <w:rFonts w:ascii="Times New Roman" w:hAnsi="Times New Roman" w:eastAsia="仿宋" w:cs="Times New Roman"/>
          <w:sz w:val="24"/>
          <w:szCs w:val="24"/>
        </w:rPr>
        <w:t>Big Data</w:t>
      </w:r>
      <w:r>
        <w:rPr>
          <w:rFonts w:ascii="Times New Roman" w:hAnsi="仿宋" w:eastAsia="仿宋" w:cs="Times New Roman"/>
          <w:sz w:val="24"/>
          <w:szCs w:val="24"/>
        </w:rPr>
        <w:t>）</w:t>
      </w:r>
      <w:r>
        <w:rPr>
          <w:rFonts w:hint="eastAsia" w:ascii="仿宋" w:hAnsi="仿宋" w:eastAsia="仿宋" w:cs="Times New Roman"/>
          <w:sz w:val="24"/>
          <w:szCs w:val="24"/>
        </w:rPr>
        <w:t>首先指信息或数据量的巨大、数据来源丰富。其次，指对大型数据的挖掘、处理、分析、分享等能力有全新的要求。多样性</w:t>
      </w:r>
      <w:r>
        <w:rPr>
          <w:rFonts w:hint="eastAsia" w:ascii="Times New Roman" w:hAnsi="仿宋" w:eastAsia="仿宋" w:cs="Times New Roman"/>
          <w:sz w:val="24"/>
          <w:szCs w:val="24"/>
        </w:rPr>
        <w:t>（Variety）</w:t>
      </w:r>
      <w:r>
        <w:rPr>
          <w:rFonts w:hint="eastAsia" w:ascii="仿宋" w:hAnsi="仿宋" w:eastAsia="仿宋" w:cs="Times New Roman"/>
          <w:sz w:val="24"/>
          <w:szCs w:val="24"/>
        </w:rPr>
        <w:t>、体量</w:t>
      </w:r>
      <w:r>
        <w:rPr>
          <w:rFonts w:hint="eastAsia" w:ascii="Times New Roman" w:hAnsi="仿宋" w:eastAsia="仿宋" w:cs="Times New Roman"/>
          <w:sz w:val="24"/>
          <w:szCs w:val="24"/>
        </w:rPr>
        <w:t>（Volume）</w:t>
      </w:r>
      <w:r>
        <w:rPr>
          <w:rFonts w:hint="eastAsia" w:ascii="仿宋" w:hAnsi="仿宋" w:eastAsia="仿宋" w:cs="Times New Roman"/>
          <w:sz w:val="24"/>
          <w:szCs w:val="24"/>
        </w:rPr>
        <w:t>、速度</w:t>
      </w:r>
      <w:r>
        <w:rPr>
          <w:rFonts w:hint="eastAsia" w:ascii="Times New Roman" w:hAnsi="仿宋" w:eastAsia="仿宋" w:cs="Times New Roman"/>
          <w:sz w:val="24"/>
          <w:szCs w:val="24"/>
        </w:rPr>
        <w:t>（Velocity）</w:t>
      </w:r>
      <w:r>
        <w:rPr>
          <w:rFonts w:hint="eastAsia" w:ascii="仿宋" w:hAnsi="仿宋" w:eastAsia="仿宋" w:cs="Times New Roman"/>
          <w:sz w:val="24"/>
          <w:szCs w:val="24"/>
        </w:rPr>
        <w:t>和价值/真实性</w:t>
      </w:r>
      <w:r>
        <w:rPr>
          <w:rFonts w:hint="eastAsia" w:ascii="Times New Roman" w:hAnsi="仿宋" w:eastAsia="仿宋" w:cs="Times New Roman"/>
          <w:sz w:val="24"/>
          <w:szCs w:val="24"/>
        </w:rPr>
        <w:t>（Value/Veracity）</w:t>
      </w:r>
      <w:r>
        <w:rPr>
          <w:rFonts w:hint="eastAsia" w:ascii="仿宋" w:hAnsi="仿宋" w:eastAsia="仿宋" w:cs="Times New Roman"/>
          <w:sz w:val="24"/>
          <w:szCs w:val="24"/>
        </w:rPr>
        <w:t>为其特质。简而言之，大数据意味着多样化的数据来源、巨大的数据量、快速的处理。</w:t>
      </w:r>
    </w:p>
    <w:p>
      <w:pPr>
        <w:spacing w:line="500" w:lineRule="exact"/>
        <w:ind w:firstLine="470" w:firstLineChars="195"/>
        <w:rPr>
          <w:rFonts w:ascii="仿宋" w:hAnsi="仿宋" w:eastAsia="仿宋" w:cs="Times New Roman"/>
          <w:sz w:val="24"/>
          <w:szCs w:val="24"/>
        </w:rPr>
      </w:pPr>
      <w:r>
        <w:rPr>
          <w:rFonts w:hint="eastAsia" w:ascii="仿宋_GB2312" w:hAnsi="仿宋_GB2312" w:eastAsia="仿宋_GB2312" w:cs="仿宋_GB2312"/>
          <w:b/>
          <w:sz w:val="24"/>
          <w:szCs w:val="24"/>
        </w:rPr>
        <w:t>拔尖人才：</w:t>
      </w:r>
      <w:r>
        <w:rPr>
          <w:rFonts w:hint="eastAsia" w:ascii="仿宋" w:hAnsi="仿宋" w:eastAsia="仿宋" w:cs="Times New Roman"/>
          <w:sz w:val="24"/>
          <w:szCs w:val="24"/>
        </w:rPr>
        <w:t>拔尖人才即具有丰富科学文化知识、高尚思想道德修养、较高的创新意识、一定独立研究能力的人才，并在自己的专业中表现突出的</w:t>
      </w:r>
      <w:r>
        <w:rPr>
          <w:rFonts w:ascii="仿宋" w:hAnsi="仿宋" w:eastAsia="仿宋" w:cs="Times New Roman"/>
          <w:sz w:val="24"/>
          <w:szCs w:val="24"/>
        </w:rPr>
        <w:t>时代型、创新型、复合型的高素质人才</w:t>
      </w:r>
      <w:r>
        <w:rPr>
          <w:rFonts w:hint="eastAsia" w:ascii="仿宋" w:hAnsi="仿宋" w:eastAsia="仿宋" w:cs="Times New Roman"/>
          <w:sz w:val="24"/>
          <w:szCs w:val="24"/>
        </w:rPr>
        <w:t>。</w:t>
      </w:r>
      <w:bookmarkStart w:id="9" w:name="_Toc8716"/>
      <w:bookmarkStart w:id="10" w:name="_Toc24582"/>
      <w:r>
        <w:rPr>
          <w:rFonts w:hint="eastAsia" w:ascii="仿宋" w:hAnsi="仿宋" w:eastAsia="仿宋" w:cs="Times New Roman"/>
          <w:sz w:val="24"/>
          <w:szCs w:val="24"/>
        </w:rPr>
        <w:t>而</w:t>
      </w:r>
      <w:r>
        <w:rPr>
          <w:rFonts w:hint="eastAsia" w:ascii="仿宋" w:hAnsi="仿宋" w:eastAsia="仿宋"/>
          <w:sz w:val="24"/>
          <w:szCs w:val="24"/>
        </w:rPr>
        <w:t>以</w:t>
      </w:r>
      <w:r>
        <w:rPr>
          <w:rFonts w:ascii="仿宋" w:hAnsi="仿宋" w:eastAsia="仿宋"/>
          <w:sz w:val="24"/>
          <w:szCs w:val="24"/>
        </w:rPr>
        <w:t>“</w:t>
      </w:r>
      <w:r>
        <w:rPr>
          <w:rFonts w:hint="eastAsia" w:ascii="仿宋" w:hAnsi="仿宋" w:eastAsia="仿宋"/>
          <w:sz w:val="24"/>
          <w:szCs w:val="24"/>
        </w:rPr>
        <w:t>信念引导人、知识塑造人、实践锻炼人、能力培养人</w:t>
      </w:r>
      <w:r>
        <w:rPr>
          <w:rFonts w:ascii="仿宋" w:hAnsi="仿宋" w:eastAsia="仿宋"/>
          <w:sz w:val="24"/>
          <w:szCs w:val="24"/>
        </w:rPr>
        <w:t>”</w:t>
      </w:r>
      <w:r>
        <w:rPr>
          <w:rFonts w:hint="eastAsia" w:ascii="仿宋" w:hAnsi="仿宋" w:eastAsia="仿宋"/>
          <w:sz w:val="24"/>
          <w:szCs w:val="24"/>
        </w:rPr>
        <w:t>的宗旨和精英培养的理念，培养一批政治立场坚定、观念新、眼界宽、胸襟阔、成绩优、会管理、能创新、能力强、适应性好、广受社会欢迎的创新型、复合型、高素质人才则为</w:t>
      </w:r>
      <w:r>
        <w:rPr>
          <w:rFonts w:hint="eastAsia" w:ascii="仿宋" w:hAnsi="仿宋" w:eastAsia="仿宋" w:cs="Times New Roman"/>
          <w:sz w:val="24"/>
          <w:szCs w:val="24"/>
        </w:rPr>
        <w:t>“二十一世纪人才学院”的人才培养目标。</w:t>
      </w:r>
    </w:p>
    <w:p>
      <w:pPr>
        <w:spacing w:line="500" w:lineRule="exact"/>
        <w:ind w:firstLine="468" w:firstLineChars="195"/>
        <w:rPr>
          <w:rFonts w:ascii="仿宋" w:hAnsi="仿宋" w:eastAsia="仿宋" w:cs="Times New Roman"/>
          <w:sz w:val="24"/>
          <w:szCs w:val="24"/>
        </w:rPr>
      </w:pPr>
    </w:p>
    <w:p>
      <w:pPr>
        <w:pStyle w:val="14"/>
        <w:spacing w:line="500" w:lineRule="exact"/>
        <w:jc w:val="left"/>
        <w:rPr>
          <w:sz w:val="24"/>
          <w:szCs w:val="24"/>
        </w:rPr>
      </w:pPr>
      <w:bookmarkStart w:id="11" w:name="_Toc402362576"/>
      <w:r>
        <w:rPr>
          <w:rFonts w:hint="eastAsia"/>
          <w:sz w:val="24"/>
          <w:szCs w:val="24"/>
        </w:rPr>
        <w:t>（四）既有研究述评</w:t>
      </w:r>
      <w:bookmarkEnd w:id="9"/>
      <w:bookmarkEnd w:id="10"/>
      <w:bookmarkEnd w:id="11"/>
    </w:p>
    <w:p>
      <w:pPr>
        <w:spacing w:line="500" w:lineRule="exact"/>
        <w:ind w:firstLine="480" w:firstLineChars="200"/>
        <w:rPr>
          <w:rFonts w:ascii="仿宋" w:hAnsi="仿宋" w:eastAsia="仿宋" w:cs="仿宋_GB2312"/>
          <w:sz w:val="24"/>
          <w:szCs w:val="24"/>
        </w:rPr>
      </w:pPr>
      <w:r>
        <w:rPr>
          <w:rFonts w:hint="eastAsia" w:ascii="仿宋" w:hAnsi="仿宋" w:eastAsia="仿宋" w:cs="仿宋_GB2312"/>
          <w:sz w:val="24"/>
          <w:szCs w:val="24"/>
        </w:rPr>
        <w:t>综合近年来有关“拔尖人才”培养的研究成果，多集中在对“拔尖人才”培养现状的学理性分析。</w:t>
      </w:r>
      <w:r>
        <w:rPr>
          <w:rFonts w:ascii="仿宋" w:hAnsi="仿宋" w:eastAsia="仿宋" w:cs="仿宋_GB2312"/>
          <w:sz w:val="24"/>
          <w:szCs w:val="24"/>
        </w:rPr>
        <w:t>研究内容主要集中在</w:t>
      </w:r>
      <w:r>
        <w:rPr>
          <w:rFonts w:hint="eastAsia" w:ascii="仿宋" w:hAnsi="仿宋" w:eastAsia="仿宋" w:cs="仿宋_GB2312"/>
          <w:sz w:val="24"/>
          <w:szCs w:val="24"/>
        </w:rPr>
        <w:t>以下</w:t>
      </w:r>
      <w:r>
        <w:rPr>
          <w:rFonts w:ascii="仿宋" w:hAnsi="仿宋" w:eastAsia="仿宋" w:cs="仿宋_GB2312"/>
          <w:sz w:val="24"/>
          <w:szCs w:val="24"/>
        </w:rPr>
        <w:t>方面</w:t>
      </w:r>
      <w:r>
        <w:rPr>
          <w:rFonts w:hint="eastAsia" w:ascii="仿宋" w:hAnsi="仿宋" w:eastAsia="仿宋" w:cs="仿宋_GB2312"/>
          <w:sz w:val="24"/>
          <w:szCs w:val="24"/>
        </w:rPr>
        <w:t>：</w:t>
      </w:r>
    </w:p>
    <w:p>
      <w:pPr>
        <w:spacing w:line="500" w:lineRule="exact"/>
        <w:ind w:firstLine="472" w:firstLineChars="196"/>
        <w:jc w:val="left"/>
        <w:rPr>
          <w:rFonts w:ascii="仿宋" w:hAnsi="仿宋" w:eastAsia="仿宋" w:cs="Times New Roman"/>
          <w:b/>
          <w:sz w:val="24"/>
          <w:szCs w:val="24"/>
        </w:rPr>
      </w:pPr>
      <w:r>
        <w:rPr>
          <w:rFonts w:ascii="仿宋" w:hAnsi="仿宋" w:eastAsia="仿宋" w:cs="仿宋_GB2312"/>
          <w:b/>
          <w:sz w:val="24"/>
          <w:szCs w:val="24"/>
        </w:rPr>
        <w:t>1、</w:t>
      </w:r>
      <w:r>
        <w:rPr>
          <w:rFonts w:hint="eastAsia" w:ascii="仿宋" w:hAnsi="仿宋" w:eastAsia="仿宋" w:cs="仿宋_GB2312"/>
          <w:b/>
          <w:sz w:val="24"/>
          <w:szCs w:val="24"/>
        </w:rPr>
        <w:t>当下高校“拔尖人才”培养机制中存在的问题</w:t>
      </w:r>
      <w:r>
        <w:rPr>
          <w:rFonts w:hint="eastAsia" w:ascii="仿宋" w:hAnsi="仿宋" w:eastAsia="仿宋" w:cs="Times New Roman"/>
          <w:b/>
          <w:sz w:val="24"/>
          <w:szCs w:val="24"/>
        </w:rPr>
        <w:t>：</w:t>
      </w:r>
      <w:r>
        <w:rPr>
          <w:rFonts w:hint="eastAsia" w:ascii="仿宋" w:hAnsi="仿宋" w:eastAsia="仿宋" w:cs="仿宋_GB2312"/>
          <w:sz w:val="24"/>
          <w:szCs w:val="24"/>
        </w:rPr>
        <w:t>秦书生和韩雪冰在《高校拔尖人才培养探析》一文中指出我国高校拔尖人才培养方面存在六大问题</w:t>
      </w:r>
      <w:r>
        <w:rPr>
          <w:rFonts w:ascii="仿宋" w:hAnsi="仿宋" w:eastAsia="仿宋" w:cs="仿宋_GB2312"/>
          <w:sz w:val="24"/>
          <w:szCs w:val="24"/>
        </w:rPr>
        <w:t xml:space="preserve">:(1)知识老化与思想观念落后；(2) </w:t>
      </w:r>
      <w:r>
        <w:rPr>
          <w:rFonts w:hint="eastAsia" w:ascii="仿宋" w:hAnsi="仿宋" w:eastAsia="仿宋" w:cs="仿宋_GB2312"/>
          <w:sz w:val="24"/>
          <w:szCs w:val="24"/>
        </w:rPr>
        <w:t>教学方法单一，教学内容陈旧落后；</w:t>
      </w:r>
      <w:r>
        <w:rPr>
          <w:rFonts w:ascii="仿宋" w:hAnsi="仿宋" w:eastAsia="仿宋" w:cs="仿宋_GB2312"/>
          <w:sz w:val="24"/>
          <w:szCs w:val="24"/>
        </w:rPr>
        <w:t>(3)学生实践训练不足；（4）缺乏创新意识和能力的培养；（5）人才“知识面仍显狭窄”；(6)对学生的考核评价缺乏灵活性和宽容度，对教师的评价重科研轻教学、重数量轻质量。</w:t>
      </w:r>
      <w:r>
        <w:rPr>
          <w:rFonts w:hint="eastAsia" w:ascii="仿宋" w:hAnsi="仿宋" w:eastAsia="仿宋" w:cs="仿宋_GB2312"/>
          <w:sz w:val="24"/>
          <w:szCs w:val="24"/>
        </w:rPr>
        <w:t>谭璐在《高校拔尖人才培养模式探究》中指出高校“拔尖人才”培养中存在着“</w:t>
      </w:r>
      <w:r>
        <w:rPr>
          <w:rFonts w:ascii="仿宋" w:hAnsi="仿宋" w:eastAsia="仿宋" w:cs="仿宋_GB2312"/>
          <w:sz w:val="24"/>
          <w:szCs w:val="24"/>
        </w:rPr>
        <w:t>被</w:t>
      </w:r>
      <w:r>
        <w:rPr>
          <w:rFonts w:hint="eastAsia" w:ascii="仿宋" w:hAnsi="仿宋" w:eastAsia="仿宋" w:cs="仿宋_GB2312"/>
          <w:sz w:val="24"/>
          <w:szCs w:val="24"/>
        </w:rPr>
        <w:t>传统素质教育理念的束缚”、“高校师资队伍建设滞后制约拔尖人才培养”、“高校教学管理滞后制约拔尖人才培养”三大问题。杨广德</w:t>
      </w:r>
      <w:r>
        <w:rPr>
          <w:rFonts w:ascii="仿宋" w:hAnsi="仿宋" w:eastAsia="仿宋" w:cs="仿宋_GB2312"/>
          <w:sz w:val="24"/>
          <w:szCs w:val="24"/>
        </w:rPr>
        <w:t>认为，我国高校在人才培养方面存在“平而不尖”的问题，主要表现在科研体制、评价体制、教师考核制度</w:t>
      </w:r>
      <w:r>
        <w:rPr>
          <w:rFonts w:hint="eastAsia" w:ascii="仿宋" w:hAnsi="仿宋" w:eastAsia="仿宋" w:cs="仿宋_GB2312"/>
          <w:sz w:val="24"/>
          <w:szCs w:val="24"/>
        </w:rPr>
        <w:t>和学生培养制度等方面</w:t>
      </w:r>
      <w:r>
        <w:rPr>
          <w:rFonts w:ascii="仿宋" w:hAnsi="仿宋" w:eastAsia="仿宋" w:cs="仿宋_GB2312"/>
          <w:sz w:val="24"/>
          <w:szCs w:val="24"/>
        </w:rPr>
        <w:t>。</w:t>
      </w:r>
      <w:r>
        <w:rPr>
          <w:rFonts w:hint="eastAsia" w:ascii="仿宋" w:hAnsi="仿宋" w:eastAsia="仿宋" w:cs="仿宋_GB2312"/>
          <w:sz w:val="24"/>
          <w:szCs w:val="24"/>
        </w:rPr>
        <w:t>综合上述研究成果，</w:t>
      </w:r>
      <w:r>
        <w:rPr>
          <w:rFonts w:ascii="仿宋" w:hAnsi="仿宋" w:eastAsia="仿宋" w:cs="仿宋_GB2312"/>
          <w:sz w:val="24"/>
          <w:szCs w:val="24"/>
        </w:rPr>
        <w:t>现有培养模式中存在的问题主要集中在以下</w:t>
      </w:r>
      <w:r>
        <w:rPr>
          <w:rFonts w:hint="eastAsia" w:ascii="仿宋" w:hAnsi="仿宋" w:eastAsia="仿宋" w:cs="仿宋_GB2312"/>
          <w:sz w:val="24"/>
          <w:szCs w:val="24"/>
        </w:rPr>
        <w:t>方面</w:t>
      </w:r>
      <w:r>
        <w:rPr>
          <w:rFonts w:ascii="仿宋" w:hAnsi="仿宋" w:eastAsia="仿宋" w:cs="仿宋_GB2312"/>
          <w:sz w:val="24"/>
          <w:szCs w:val="24"/>
        </w:rPr>
        <w:t>：</w:t>
      </w:r>
      <w:r>
        <w:rPr>
          <w:rFonts w:hint="eastAsia" w:ascii="仿宋" w:hAnsi="仿宋" w:eastAsia="仿宋" w:cs="仿宋_GB2312"/>
          <w:sz w:val="24"/>
          <w:szCs w:val="24"/>
        </w:rPr>
        <w:t>（</w:t>
      </w:r>
      <w:r>
        <w:rPr>
          <w:rFonts w:ascii="仿宋" w:hAnsi="仿宋" w:eastAsia="仿宋" w:cs="仿宋_GB2312"/>
          <w:sz w:val="24"/>
          <w:szCs w:val="24"/>
        </w:rPr>
        <w:t>1）高校培养创新人才的机制不够灵活；（2）高校评价管理体制过于僵化</w:t>
      </w:r>
      <w:r>
        <w:rPr>
          <w:rFonts w:hint="eastAsia" w:ascii="仿宋" w:hAnsi="仿宋" w:eastAsia="仿宋" w:cs="仿宋_GB2312"/>
          <w:sz w:val="24"/>
          <w:szCs w:val="24"/>
        </w:rPr>
        <w:t>；（</w:t>
      </w:r>
      <w:r>
        <w:rPr>
          <w:rFonts w:ascii="仿宋" w:hAnsi="仿宋" w:eastAsia="仿宋" w:cs="仿宋_GB2312"/>
          <w:sz w:val="24"/>
          <w:szCs w:val="24"/>
        </w:rPr>
        <w:t>3）高校</w:t>
      </w:r>
      <w:r>
        <w:rPr>
          <w:rFonts w:hint="eastAsia" w:ascii="仿宋" w:hAnsi="仿宋" w:eastAsia="仿宋" w:cs="仿宋_GB2312"/>
          <w:sz w:val="24"/>
          <w:szCs w:val="24"/>
        </w:rPr>
        <w:t>在培养过程中缺乏实践教学。</w:t>
      </w:r>
    </w:p>
    <w:p>
      <w:pPr>
        <w:spacing w:line="500" w:lineRule="exact"/>
        <w:ind w:firstLine="482" w:firstLineChars="200"/>
        <w:rPr>
          <w:rFonts w:ascii="仿宋" w:hAnsi="仿宋" w:eastAsia="仿宋" w:cs="仿宋_GB2312"/>
          <w:sz w:val="24"/>
          <w:szCs w:val="24"/>
        </w:rPr>
      </w:pPr>
      <w:r>
        <w:rPr>
          <w:rFonts w:ascii="仿宋" w:hAnsi="仿宋" w:eastAsia="仿宋" w:cs="仿宋_GB2312"/>
          <w:b/>
          <w:sz w:val="24"/>
          <w:szCs w:val="24"/>
        </w:rPr>
        <w:t>2、高校“拔尖人才”</w:t>
      </w:r>
      <w:r>
        <w:rPr>
          <w:rFonts w:hint="eastAsia" w:ascii="仿宋" w:hAnsi="仿宋" w:eastAsia="仿宋" w:cs="仿宋_GB2312"/>
          <w:b/>
          <w:sz w:val="24"/>
          <w:szCs w:val="24"/>
        </w:rPr>
        <w:t>培养机制</w:t>
      </w:r>
      <w:r>
        <w:rPr>
          <w:rFonts w:ascii="仿宋" w:hAnsi="仿宋" w:eastAsia="仿宋" w:cs="仿宋_GB2312"/>
          <w:b/>
          <w:sz w:val="24"/>
          <w:szCs w:val="24"/>
        </w:rPr>
        <w:t>改革</w:t>
      </w:r>
      <w:r>
        <w:rPr>
          <w:rFonts w:hint="eastAsia" w:ascii="仿宋" w:hAnsi="仿宋" w:eastAsia="仿宋" w:cs="仿宋_GB2312"/>
          <w:b/>
          <w:sz w:val="24"/>
          <w:szCs w:val="24"/>
        </w:rPr>
        <w:t>与</w:t>
      </w:r>
      <w:r>
        <w:rPr>
          <w:rFonts w:ascii="仿宋" w:hAnsi="仿宋" w:eastAsia="仿宋" w:cs="仿宋_GB2312"/>
          <w:b/>
          <w:sz w:val="24"/>
          <w:szCs w:val="24"/>
        </w:rPr>
        <w:t>途径</w:t>
      </w:r>
      <w:r>
        <w:rPr>
          <w:rFonts w:hint="eastAsia" w:ascii="仿宋" w:hAnsi="仿宋" w:eastAsia="仿宋" w:cs="仿宋_GB2312"/>
          <w:b/>
          <w:sz w:val="24"/>
          <w:szCs w:val="24"/>
        </w:rPr>
        <w:t>探究：</w:t>
      </w:r>
      <w:r>
        <w:rPr>
          <w:rFonts w:hint="eastAsia" w:ascii="仿宋" w:hAnsi="仿宋" w:eastAsia="仿宋" w:cs="仿宋_GB2312"/>
          <w:sz w:val="24"/>
          <w:szCs w:val="24"/>
        </w:rPr>
        <w:t>“试验班</w:t>
      </w:r>
      <w:r>
        <w:rPr>
          <w:rFonts w:ascii="仿宋" w:hAnsi="仿宋" w:eastAsia="仿宋" w:cs="仿宋_GB2312"/>
          <w:sz w:val="24"/>
          <w:szCs w:val="24"/>
        </w:rPr>
        <w:t>人才培养模式</w:t>
      </w:r>
      <w:r>
        <w:rPr>
          <w:rFonts w:hint="eastAsia" w:ascii="仿宋" w:hAnsi="仿宋" w:eastAsia="仿宋" w:cs="仿宋_GB2312"/>
          <w:sz w:val="24"/>
          <w:szCs w:val="24"/>
        </w:rPr>
        <w:t>”</w:t>
      </w:r>
      <w:r>
        <w:rPr>
          <w:rFonts w:ascii="仿宋" w:hAnsi="仿宋" w:eastAsia="仿宋" w:cs="仿宋_GB2312"/>
          <w:sz w:val="24"/>
          <w:szCs w:val="24"/>
        </w:rPr>
        <w:t>是</w:t>
      </w:r>
      <w:r>
        <w:rPr>
          <w:rFonts w:hint="eastAsia" w:ascii="仿宋" w:hAnsi="仿宋" w:eastAsia="仿宋" w:cs="仿宋_GB2312"/>
          <w:sz w:val="24"/>
          <w:szCs w:val="24"/>
        </w:rPr>
        <w:t>被</w:t>
      </w:r>
      <w:r>
        <w:rPr>
          <w:rFonts w:ascii="仿宋" w:hAnsi="仿宋" w:eastAsia="仿宋" w:cs="仿宋_GB2312"/>
          <w:sz w:val="24"/>
          <w:szCs w:val="24"/>
        </w:rPr>
        <w:t>很多研究者关注的“拔尖人才”培养途径。</w:t>
      </w:r>
      <w:r>
        <w:rPr>
          <w:rFonts w:hint="eastAsia" w:ascii="仿宋" w:hAnsi="仿宋" w:eastAsia="仿宋" w:cs="仿宋_GB2312"/>
          <w:sz w:val="24"/>
          <w:szCs w:val="24"/>
        </w:rPr>
        <w:t>潘云鹤</w:t>
      </w:r>
      <w:r>
        <w:rPr>
          <w:rFonts w:ascii="仿宋" w:hAnsi="仿宋" w:eastAsia="仿宋" w:cs="仿宋_GB2312"/>
          <w:sz w:val="24"/>
          <w:szCs w:val="24"/>
        </w:rPr>
        <w:t>的课题组在《拔尖</w:t>
      </w:r>
      <w:r>
        <w:rPr>
          <w:rFonts w:hint="eastAsia" w:ascii="仿宋" w:hAnsi="仿宋" w:eastAsia="仿宋" w:cs="仿宋_GB2312"/>
          <w:sz w:val="24"/>
          <w:szCs w:val="24"/>
        </w:rPr>
        <w:t>创新</w:t>
      </w:r>
      <w:r>
        <w:rPr>
          <w:rFonts w:ascii="仿宋" w:hAnsi="仿宋" w:eastAsia="仿宋" w:cs="仿宋_GB2312"/>
          <w:sz w:val="24"/>
          <w:szCs w:val="24"/>
        </w:rPr>
        <w:t>人才</w:t>
      </w:r>
      <w:r>
        <w:rPr>
          <w:rFonts w:hint="eastAsia" w:ascii="仿宋" w:hAnsi="仿宋" w:eastAsia="仿宋" w:cs="仿宋_GB2312"/>
          <w:sz w:val="24"/>
          <w:szCs w:val="24"/>
        </w:rPr>
        <w:t>培养二十年</w:t>
      </w:r>
      <w:r>
        <w:rPr>
          <w:rFonts w:ascii="仿宋" w:hAnsi="仿宋" w:eastAsia="仿宋" w:cs="仿宋_GB2312"/>
          <w:sz w:val="24"/>
          <w:szCs w:val="24"/>
        </w:rPr>
        <w:t>的探索与实践》中</w:t>
      </w:r>
      <w:r>
        <w:rPr>
          <w:rFonts w:hint="eastAsia" w:ascii="仿宋" w:hAnsi="仿宋" w:eastAsia="仿宋" w:cs="仿宋_GB2312"/>
          <w:sz w:val="24"/>
          <w:szCs w:val="24"/>
        </w:rPr>
        <w:t>回顾分析了浙</w:t>
      </w:r>
      <w:r>
        <w:rPr>
          <w:rFonts w:ascii="仿宋" w:hAnsi="仿宋" w:eastAsia="仿宋" w:cs="仿宋_GB2312"/>
          <w:sz w:val="24"/>
          <w:szCs w:val="24"/>
        </w:rPr>
        <w:t>江大学</w:t>
      </w:r>
      <w:r>
        <w:rPr>
          <w:rFonts w:hint="eastAsia" w:ascii="仿宋" w:hAnsi="仿宋" w:eastAsia="仿宋" w:cs="仿宋_GB2312"/>
          <w:sz w:val="24"/>
          <w:szCs w:val="24"/>
        </w:rPr>
        <w:t>二十年</w:t>
      </w:r>
      <w:r>
        <w:rPr>
          <w:rFonts w:ascii="仿宋" w:hAnsi="仿宋" w:eastAsia="仿宋" w:cs="仿宋_GB2312"/>
          <w:sz w:val="24"/>
          <w:szCs w:val="24"/>
        </w:rPr>
        <w:t>来开</w:t>
      </w:r>
      <w:r>
        <w:rPr>
          <w:rFonts w:hint="eastAsia" w:ascii="仿宋" w:hAnsi="仿宋" w:eastAsia="仿宋" w:cs="仿宋_GB2312"/>
          <w:sz w:val="24"/>
          <w:szCs w:val="24"/>
        </w:rPr>
        <w:t>办</w:t>
      </w:r>
      <w:r>
        <w:rPr>
          <w:rFonts w:ascii="仿宋" w:hAnsi="仿宋" w:eastAsia="仿宋" w:cs="仿宋_GB2312"/>
          <w:sz w:val="24"/>
          <w:szCs w:val="24"/>
        </w:rPr>
        <w:t>浙大</w:t>
      </w:r>
      <w:r>
        <w:rPr>
          <w:rFonts w:hint="eastAsia" w:ascii="仿宋" w:hAnsi="仿宋" w:eastAsia="仿宋" w:cs="仿宋_GB2312"/>
          <w:sz w:val="24"/>
          <w:szCs w:val="24"/>
        </w:rPr>
        <w:t>试</w:t>
      </w:r>
      <w:r>
        <w:rPr>
          <w:rFonts w:ascii="仿宋" w:hAnsi="仿宋" w:eastAsia="仿宋" w:cs="仿宋_GB2312"/>
          <w:sz w:val="24"/>
          <w:szCs w:val="24"/>
        </w:rPr>
        <w:t>验班</w:t>
      </w:r>
      <w:r>
        <w:rPr>
          <w:rFonts w:hint="eastAsia" w:ascii="仿宋" w:hAnsi="仿宋" w:eastAsia="仿宋" w:cs="仿宋_GB2312"/>
          <w:sz w:val="24"/>
          <w:szCs w:val="24"/>
        </w:rPr>
        <w:t>的</w:t>
      </w:r>
      <w:r>
        <w:rPr>
          <w:rFonts w:ascii="仿宋" w:hAnsi="仿宋" w:eastAsia="仿宋" w:cs="仿宋_GB2312"/>
          <w:sz w:val="24"/>
          <w:szCs w:val="24"/>
        </w:rPr>
        <w:t>情况，认为该种模式具</w:t>
      </w:r>
      <w:r>
        <w:rPr>
          <w:rFonts w:hint="eastAsia" w:ascii="仿宋" w:hAnsi="仿宋" w:eastAsia="仿宋" w:cs="仿宋_GB2312"/>
          <w:sz w:val="24"/>
          <w:szCs w:val="24"/>
        </w:rPr>
        <w:t>备</w:t>
      </w:r>
      <w:r>
        <w:rPr>
          <w:rFonts w:ascii="仿宋" w:hAnsi="仿宋" w:eastAsia="仿宋" w:cs="仿宋_GB2312"/>
          <w:sz w:val="24"/>
          <w:szCs w:val="24"/>
        </w:rPr>
        <w:t>能提供开放的国际视野、营造竞争合作的成长空间以及完善管理体制的优点。</w:t>
      </w:r>
      <w:r>
        <w:rPr>
          <w:rFonts w:hint="eastAsia" w:ascii="仿宋" w:hAnsi="仿宋" w:eastAsia="仿宋" w:cs="仿宋_GB2312"/>
          <w:sz w:val="24"/>
          <w:szCs w:val="24"/>
        </w:rPr>
        <w:t>尚仁成</w:t>
      </w:r>
      <w:r>
        <w:rPr>
          <w:rFonts w:ascii="仿宋" w:hAnsi="仿宋" w:eastAsia="仿宋" w:cs="仿宋_GB2312"/>
          <w:sz w:val="24"/>
          <w:szCs w:val="24"/>
        </w:rPr>
        <w:t>在《基础科学拔尖人才培养模式的探索》中</w:t>
      </w:r>
      <w:r>
        <w:rPr>
          <w:rFonts w:hint="eastAsia" w:ascii="仿宋" w:hAnsi="仿宋" w:eastAsia="仿宋" w:cs="仿宋_GB2312"/>
          <w:sz w:val="24"/>
          <w:szCs w:val="24"/>
        </w:rPr>
        <w:t>将</w:t>
      </w:r>
      <w:r>
        <w:rPr>
          <w:rFonts w:ascii="仿宋" w:hAnsi="仿宋" w:eastAsia="仿宋" w:cs="仿宋_GB2312"/>
          <w:sz w:val="24"/>
          <w:szCs w:val="24"/>
        </w:rPr>
        <w:t>清华大学基科班的人才培养特色归纳为</w:t>
      </w:r>
      <w:r>
        <w:rPr>
          <w:rFonts w:hint="eastAsia" w:ascii="仿宋" w:hAnsi="仿宋" w:eastAsia="仿宋" w:cs="仿宋_GB2312"/>
          <w:sz w:val="24"/>
          <w:szCs w:val="24"/>
        </w:rPr>
        <w:t>：</w:t>
      </w:r>
      <w:r>
        <w:rPr>
          <w:rFonts w:ascii="仿宋" w:hAnsi="仿宋" w:eastAsia="仿宋" w:cs="仿宋_GB2312"/>
          <w:sz w:val="24"/>
          <w:szCs w:val="24"/>
        </w:rPr>
        <w:t>“择天下英才而育之”</w:t>
      </w:r>
      <w:r>
        <w:rPr>
          <w:rFonts w:hint="eastAsia" w:ascii="仿宋" w:hAnsi="仿宋" w:eastAsia="仿宋" w:cs="仿宋_GB2312"/>
          <w:sz w:val="24"/>
          <w:szCs w:val="24"/>
        </w:rPr>
        <w:t>、</w:t>
      </w:r>
      <w:r>
        <w:rPr>
          <w:rFonts w:ascii="仿宋" w:hAnsi="仿宋" w:eastAsia="仿宋" w:cs="仿宋_GB2312"/>
          <w:sz w:val="24"/>
          <w:szCs w:val="24"/>
        </w:rPr>
        <w:t>“觅高士而师之”</w:t>
      </w:r>
      <w:r>
        <w:rPr>
          <w:rFonts w:hint="eastAsia" w:ascii="仿宋" w:hAnsi="仿宋" w:eastAsia="仿宋" w:cs="仿宋_GB2312"/>
          <w:sz w:val="24"/>
          <w:szCs w:val="24"/>
        </w:rPr>
        <w:t>、</w:t>
      </w:r>
      <w:r>
        <w:rPr>
          <w:rFonts w:ascii="仿宋" w:hAnsi="仿宋" w:eastAsia="仿宋" w:cs="仿宋_GB2312"/>
          <w:sz w:val="24"/>
          <w:szCs w:val="24"/>
        </w:rPr>
        <w:t>在</w:t>
      </w:r>
      <w:r>
        <w:rPr>
          <w:rFonts w:hint="eastAsia" w:ascii="仿宋" w:hAnsi="仿宋" w:eastAsia="仿宋" w:cs="仿宋_GB2312"/>
          <w:sz w:val="24"/>
          <w:szCs w:val="24"/>
        </w:rPr>
        <w:t>实践</w:t>
      </w:r>
      <w:r>
        <w:rPr>
          <w:rFonts w:ascii="仿宋" w:hAnsi="仿宋" w:eastAsia="仿宋" w:cs="仿宋_GB2312"/>
          <w:sz w:val="24"/>
          <w:szCs w:val="24"/>
        </w:rPr>
        <w:t>科研中学习</w:t>
      </w:r>
      <w:r>
        <w:rPr>
          <w:rFonts w:hint="eastAsia" w:ascii="仿宋" w:hAnsi="仿宋" w:eastAsia="仿宋" w:cs="仿宋_GB2312"/>
          <w:sz w:val="24"/>
          <w:szCs w:val="24"/>
        </w:rPr>
        <w:t>。通过</w:t>
      </w:r>
      <w:r>
        <w:rPr>
          <w:rFonts w:ascii="仿宋" w:hAnsi="仿宋" w:eastAsia="仿宋" w:cs="仿宋_GB2312"/>
          <w:sz w:val="24"/>
          <w:szCs w:val="24"/>
        </w:rPr>
        <w:t>文献梳理，</w:t>
      </w:r>
      <w:r>
        <w:rPr>
          <w:rFonts w:hint="eastAsia" w:ascii="仿宋" w:hAnsi="仿宋" w:eastAsia="仿宋" w:cs="仿宋_GB2312"/>
          <w:sz w:val="24"/>
          <w:szCs w:val="24"/>
        </w:rPr>
        <w:t>笔者发现，</w:t>
      </w:r>
      <w:r>
        <w:rPr>
          <w:rFonts w:ascii="仿宋" w:hAnsi="仿宋" w:eastAsia="仿宋" w:cs="仿宋_GB2312"/>
          <w:sz w:val="24"/>
          <w:szCs w:val="24"/>
        </w:rPr>
        <w:t>高校</w:t>
      </w:r>
      <w:r>
        <w:rPr>
          <w:rFonts w:hint="eastAsia" w:ascii="仿宋" w:hAnsi="仿宋" w:eastAsia="仿宋" w:cs="仿宋_GB2312"/>
          <w:sz w:val="24"/>
          <w:szCs w:val="24"/>
        </w:rPr>
        <w:t>实验班</w:t>
      </w:r>
      <w:r>
        <w:rPr>
          <w:rFonts w:ascii="仿宋" w:hAnsi="仿宋" w:eastAsia="仿宋" w:cs="仿宋_GB2312"/>
          <w:sz w:val="24"/>
          <w:szCs w:val="24"/>
        </w:rPr>
        <w:t>人才培养模式的特色可</w:t>
      </w:r>
      <w:r>
        <w:rPr>
          <w:rFonts w:hint="eastAsia" w:ascii="仿宋" w:hAnsi="仿宋" w:eastAsia="仿宋" w:cs="仿宋_GB2312"/>
          <w:sz w:val="24"/>
          <w:szCs w:val="24"/>
        </w:rPr>
        <w:t>总结为以下方面</w:t>
      </w:r>
      <w:r>
        <w:rPr>
          <w:rFonts w:ascii="仿宋" w:hAnsi="仿宋" w:eastAsia="仿宋" w:cs="仿宋_GB2312"/>
          <w:sz w:val="24"/>
          <w:szCs w:val="24"/>
        </w:rPr>
        <w:t>：</w:t>
      </w:r>
      <w:r>
        <w:rPr>
          <w:rFonts w:hint="eastAsia" w:ascii="仿宋" w:hAnsi="仿宋" w:eastAsia="仿宋" w:cs="仿宋_GB2312"/>
          <w:sz w:val="24"/>
          <w:szCs w:val="24"/>
        </w:rPr>
        <w:t>1、</w:t>
      </w:r>
      <w:r>
        <w:rPr>
          <w:rFonts w:ascii="仿宋" w:hAnsi="仿宋" w:eastAsia="仿宋" w:cs="仿宋_GB2312"/>
          <w:sz w:val="24"/>
          <w:szCs w:val="24"/>
        </w:rPr>
        <w:t>重视科研实践训练</w:t>
      </w:r>
      <w:r>
        <w:rPr>
          <w:rFonts w:hint="eastAsia" w:ascii="仿宋" w:hAnsi="仿宋" w:eastAsia="仿宋" w:cs="仿宋_GB2312"/>
          <w:sz w:val="24"/>
          <w:szCs w:val="24"/>
        </w:rPr>
        <w:t>；2、</w:t>
      </w:r>
      <w:r>
        <w:rPr>
          <w:rFonts w:ascii="仿宋" w:hAnsi="仿宋" w:eastAsia="仿宋" w:cs="仿宋_GB2312"/>
          <w:sz w:val="24"/>
          <w:szCs w:val="24"/>
        </w:rPr>
        <w:t>完善的考核评价制度与管理模式</w:t>
      </w:r>
      <w:r>
        <w:rPr>
          <w:rFonts w:hint="eastAsia" w:ascii="仿宋" w:hAnsi="仿宋" w:eastAsia="仿宋" w:cs="仿宋_GB2312"/>
          <w:sz w:val="24"/>
          <w:szCs w:val="24"/>
        </w:rPr>
        <w:t>；3、</w:t>
      </w:r>
      <w:r>
        <w:rPr>
          <w:rFonts w:ascii="仿宋" w:hAnsi="仿宋" w:eastAsia="仿宋" w:cs="仿宋_GB2312"/>
          <w:sz w:val="24"/>
          <w:szCs w:val="24"/>
        </w:rPr>
        <w:t>因材施教的授课模式。</w:t>
      </w:r>
    </w:p>
    <w:p>
      <w:pPr>
        <w:spacing w:line="500" w:lineRule="exact"/>
        <w:ind w:firstLine="480" w:firstLineChars="200"/>
        <w:rPr>
          <w:rFonts w:ascii="仿宋" w:hAnsi="仿宋" w:eastAsia="仿宋" w:cs="仿宋_GB2312"/>
          <w:sz w:val="24"/>
          <w:szCs w:val="24"/>
        </w:rPr>
      </w:pPr>
      <w:r>
        <w:rPr>
          <w:rFonts w:hint="eastAsia" w:ascii="仿宋" w:hAnsi="仿宋" w:eastAsia="仿宋" w:cs="仿宋_GB2312"/>
          <w:sz w:val="24"/>
          <w:szCs w:val="24"/>
        </w:rPr>
        <w:t>非试验班</w:t>
      </w:r>
      <w:r>
        <w:rPr>
          <w:rFonts w:ascii="仿宋" w:hAnsi="仿宋" w:eastAsia="仿宋" w:cs="仿宋_GB2312"/>
          <w:sz w:val="24"/>
          <w:szCs w:val="24"/>
        </w:rPr>
        <w:t>的人才培养模式是</w:t>
      </w:r>
      <w:r>
        <w:rPr>
          <w:rFonts w:hint="eastAsia" w:ascii="仿宋" w:hAnsi="仿宋" w:eastAsia="仿宋" w:cs="仿宋_GB2312"/>
          <w:sz w:val="24"/>
          <w:szCs w:val="24"/>
        </w:rPr>
        <w:t>众多研究者</w:t>
      </w:r>
      <w:r>
        <w:rPr>
          <w:rFonts w:ascii="仿宋" w:hAnsi="仿宋" w:eastAsia="仿宋" w:cs="仿宋_GB2312"/>
          <w:sz w:val="24"/>
          <w:szCs w:val="24"/>
        </w:rPr>
        <w:t>关注的另一条“创新人才”培养途径。</w:t>
      </w:r>
      <w:r>
        <w:rPr>
          <w:rFonts w:hint="eastAsia" w:ascii="仿宋" w:hAnsi="仿宋" w:eastAsia="仿宋" w:cs="仿宋_GB2312"/>
          <w:sz w:val="24"/>
          <w:szCs w:val="24"/>
        </w:rPr>
        <w:t>印大秋在</w:t>
      </w:r>
      <w:r>
        <w:rPr>
          <w:rFonts w:ascii="仿宋" w:hAnsi="仿宋" w:eastAsia="仿宋" w:cs="仿宋_GB2312"/>
          <w:sz w:val="24"/>
          <w:szCs w:val="24"/>
        </w:rPr>
        <w:t>《创建开放式创新环境</w:t>
      </w:r>
      <w:r>
        <w:rPr>
          <w:rFonts w:hint="eastAsia" w:ascii="仿宋" w:hAnsi="仿宋" w:eastAsia="仿宋" w:cs="仿宋_GB2312"/>
          <w:sz w:val="24"/>
          <w:szCs w:val="24"/>
        </w:rPr>
        <w:t>培养优秀</w:t>
      </w:r>
      <w:r>
        <w:rPr>
          <w:rFonts w:ascii="仿宋" w:hAnsi="仿宋" w:eastAsia="仿宋" w:cs="仿宋_GB2312"/>
          <w:sz w:val="24"/>
          <w:szCs w:val="24"/>
        </w:rPr>
        <w:t>的创新人才》</w:t>
      </w:r>
      <w:r>
        <w:rPr>
          <w:rFonts w:hint="eastAsia" w:ascii="仿宋" w:hAnsi="仿宋" w:eastAsia="仿宋" w:cs="仿宋_GB2312"/>
          <w:sz w:val="24"/>
          <w:szCs w:val="24"/>
        </w:rPr>
        <w:t>中指出开放性的电子创新环境对培养学生的创</w:t>
      </w:r>
      <w:r>
        <w:rPr>
          <w:rFonts w:ascii="仿宋" w:hAnsi="仿宋" w:eastAsia="仿宋" w:cs="仿宋_GB2312"/>
          <w:sz w:val="24"/>
          <w:szCs w:val="24"/>
        </w:rPr>
        <w:t>新精神和创新能力发挥着重要作用。</w:t>
      </w:r>
      <w:r>
        <w:rPr>
          <w:rFonts w:hint="eastAsia" w:ascii="仿宋" w:hAnsi="仿宋" w:eastAsia="仿宋" w:cs="仿宋_GB2312"/>
          <w:sz w:val="24"/>
          <w:szCs w:val="24"/>
        </w:rPr>
        <w:t>王宏</w:t>
      </w:r>
      <w:r>
        <w:rPr>
          <w:rFonts w:ascii="仿宋" w:hAnsi="仿宋" w:eastAsia="仿宋" w:cs="仿宋_GB2312"/>
          <w:sz w:val="24"/>
          <w:szCs w:val="24"/>
        </w:rPr>
        <w:t>等根据清华大学多年来在信息学奥林匹克竞赛中的经验，总结出“赛</w:t>
      </w:r>
      <w:r>
        <w:rPr>
          <w:rFonts w:hint="eastAsia" w:ascii="仿宋" w:hAnsi="仿宋" w:eastAsia="仿宋" w:cs="仿宋_GB2312"/>
          <w:sz w:val="24"/>
          <w:szCs w:val="24"/>
        </w:rPr>
        <w:t>课</w:t>
      </w:r>
      <w:r>
        <w:rPr>
          <w:rFonts w:ascii="仿宋" w:hAnsi="仿宋" w:eastAsia="仿宋" w:cs="仿宋_GB2312"/>
          <w:sz w:val="24"/>
          <w:szCs w:val="24"/>
        </w:rPr>
        <w:t>结合</w:t>
      </w:r>
      <w:r>
        <w:rPr>
          <w:rFonts w:hint="eastAsia" w:ascii="仿宋" w:hAnsi="仿宋" w:eastAsia="仿宋" w:cs="仿宋_GB2312"/>
          <w:sz w:val="24"/>
          <w:szCs w:val="24"/>
        </w:rPr>
        <w:t>”</w:t>
      </w:r>
      <w:r>
        <w:rPr>
          <w:rFonts w:ascii="仿宋" w:hAnsi="仿宋" w:eastAsia="仿宋" w:cs="仿宋_GB2312"/>
          <w:sz w:val="24"/>
          <w:szCs w:val="24"/>
        </w:rPr>
        <w:t>的</w:t>
      </w:r>
      <w:r>
        <w:rPr>
          <w:rFonts w:hint="eastAsia" w:ascii="仿宋" w:hAnsi="仿宋" w:eastAsia="仿宋" w:cs="仿宋_GB2312"/>
          <w:sz w:val="24"/>
          <w:szCs w:val="24"/>
        </w:rPr>
        <w:t>“</w:t>
      </w:r>
      <w:r>
        <w:rPr>
          <w:rFonts w:ascii="仿宋" w:hAnsi="仿宋" w:eastAsia="仿宋" w:cs="仿宋_GB2312"/>
          <w:sz w:val="24"/>
          <w:szCs w:val="24"/>
        </w:rPr>
        <w:t>拔尖人才</w:t>
      </w:r>
      <w:r>
        <w:rPr>
          <w:rFonts w:hint="eastAsia" w:ascii="仿宋" w:hAnsi="仿宋" w:eastAsia="仿宋" w:cs="仿宋_GB2312"/>
          <w:sz w:val="24"/>
          <w:szCs w:val="24"/>
        </w:rPr>
        <w:t>”</w:t>
      </w:r>
      <w:r>
        <w:rPr>
          <w:rFonts w:ascii="仿宋" w:hAnsi="仿宋" w:eastAsia="仿宋" w:cs="仿宋_GB2312"/>
          <w:sz w:val="24"/>
          <w:szCs w:val="24"/>
        </w:rPr>
        <w:t>培养方法。</w:t>
      </w:r>
      <w:r>
        <w:rPr>
          <w:rFonts w:hint="eastAsia" w:ascii="仿宋" w:hAnsi="仿宋" w:eastAsia="仿宋" w:cs="仿宋_GB2312"/>
          <w:sz w:val="24"/>
          <w:szCs w:val="24"/>
        </w:rPr>
        <w:t>鼓励学生在掌握课堂教学内容的同时</w:t>
      </w:r>
      <w:r>
        <w:rPr>
          <w:rFonts w:ascii="仿宋" w:hAnsi="仿宋" w:eastAsia="仿宋" w:cs="仿宋_GB2312"/>
          <w:sz w:val="24"/>
          <w:szCs w:val="24"/>
        </w:rPr>
        <w:t>，积极参加各类大赛，通过参赛开拓学生视野，培养学生能力。此类人才培养模式的共性主要表现在：1、注重开放性的创新环境</w:t>
      </w:r>
      <w:r>
        <w:rPr>
          <w:rFonts w:hint="eastAsia" w:ascii="仿宋" w:hAnsi="仿宋" w:eastAsia="仿宋" w:cs="仿宋_GB2312"/>
          <w:sz w:val="24"/>
          <w:szCs w:val="24"/>
        </w:rPr>
        <w:t>；</w:t>
      </w:r>
      <w:r>
        <w:rPr>
          <w:rFonts w:ascii="仿宋" w:hAnsi="仿宋" w:eastAsia="仿宋" w:cs="仿宋_GB2312"/>
          <w:sz w:val="24"/>
          <w:szCs w:val="24"/>
        </w:rPr>
        <w:t xml:space="preserve"> 2、提倡自</w:t>
      </w:r>
      <w:r>
        <w:rPr>
          <w:rFonts w:hint="eastAsia" w:ascii="仿宋" w:hAnsi="仿宋" w:eastAsia="仿宋" w:cs="仿宋_GB2312"/>
          <w:sz w:val="24"/>
          <w:szCs w:val="24"/>
        </w:rPr>
        <w:t>主</w:t>
      </w:r>
      <w:r>
        <w:rPr>
          <w:rFonts w:ascii="仿宋" w:hAnsi="仿宋" w:eastAsia="仿宋" w:cs="仿宋_GB2312"/>
          <w:sz w:val="24"/>
          <w:szCs w:val="24"/>
        </w:rPr>
        <w:t>学习 ；3、在实践中培养学生的团队协作能力和科研能力</w:t>
      </w:r>
      <w:r>
        <w:rPr>
          <w:rFonts w:hint="eastAsia" w:ascii="仿宋" w:hAnsi="仿宋" w:eastAsia="仿宋" w:cs="仿宋_GB2312"/>
          <w:sz w:val="24"/>
          <w:szCs w:val="24"/>
        </w:rPr>
        <w:t>。</w:t>
      </w:r>
    </w:p>
    <w:p>
      <w:pPr>
        <w:spacing w:line="500" w:lineRule="exact"/>
        <w:ind w:firstLine="480" w:firstLineChars="200"/>
        <w:rPr>
          <w:rFonts w:ascii="仿宋" w:hAnsi="仿宋" w:eastAsia="仿宋" w:cs="仿宋_GB2312"/>
          <w:sz w:val="24"/>
          <w:szCs w:val="24"/>
        </w:rPr>
      </w:pPr>
      <w:r>
        <w:rPr>
          <w:rFonts w:hint="eastAsia" w:ascii="仿宋" w:hAnsi="仿宋" w:eastAsia="仿宋" w:cs="仿宋_GB2312"/>
          <w:sz w:val="24"/>
          <w:szCs w:val="24"/>
        </w:rPr>
        <w:t>基于上述成果，笔者获得了关于“拔尖人才”培养的途径借鉴，但纵观既有</w:t>
      </w:r>
      <w:r>
        <w:rPr>
          <w:rFonts w:ascii="仿宋" w:hAnsi="仿宋" w:eastAsia="仿宋" w:cs="仿宋_GB2312"/>
          <w:sz w:val="24"/>
          <w:szCs w:val="24"/>
        </w:rPr>
        <w:t>文献，大多仍将关注点放在如何培养拔尖人才的创新能力与意识上</w:t>
      </w:r>
      <w:r>
        <w:rPr>
          <w:rFonts w:hint="eastAsia" w:ascii="仿宋" w:hAnsi="仿宋" w:eastAsia="仿宋" w:cs="仿宋_GB2312"/>
          <w:sz w:val="24"/>
          <w:szCs w:val="24"/>
        </w:rPr>
        <w:t>,</w:t>
      </w:r>
      <w:r>
        <w:rPr>
          <w:rFonts w:ascii="仿宋" w:hAnsi="仿宋" w:eastAsia="仿宋" w:cs="仿宋_GB2312"/>
          <w:sz w:val="24"/>
          <w:szCs w:val="24"/>
        </w:rPr>
        <w:t>并未将</w:t>
      </w:r>
      <w:r>
        <w:rPr>
          <w:rFonts w:hint="eastAsia" w:ascii="仿宋" w:hAnsi="仿宋" w:eastAsia="仿宋" w:cs="仿宋_GB2312"/>
          <w:sz w:val="24"/>
          <w:szCs w:val="24"/>
        </w:rPr>
        <w:t>“拔尖人才”培养机制创新与当今时代背景相结合，从“大数据”的角度来探讨如何创新改进原有的“拔尖人才”培养机制。此外，研究者较少深入挖掘“拔尖人才”培养制度的内在逻辑，</w:t>
      </w:r>
      <w:r>
        <w:rPr>
          <w:rFonts w:ascii="仿宋" w:hAnsi="仿宋" w:eastAsia="仿宋" w:cs="仿宋_GB2312"/>
          <w:sz w:val="24"/>
          <w:szCs w:val="24"/>
        </w:rPr>
        <w:t>大多都仅停留在经验总结的层面</w:t>
      </w:r>
      <w:r>
        <w:rPr>
          <w:rFonts w:hint="eastAsia" w:ascii="仿宋" w:hAnsi="仿宋" w:eastAsia="仿宋" w:cs="仿宋_GB2312"/>
          <w:sz w:val="24"/>
          <w:szCs w:val="24"/>
        </w:rPr>
        <w:t>。而本研究则正是致力于在现有基础上，通过对华东师范大学“二十一世纪人才学院”工作开展的实务分析，结合对“大数据”时代特征的把握，探究大数据时代背景下“拔尖人才”培养机制创新问题。</w:t>
      </w:r>
    </w:p>
    <w:p>
      <w:pPr>
        <w:pStyle w:val="14"/>
        <w:spacing w:line="500" w:lineRule="exact"/>
        <w:jc w:val="both"/>
        <w:rPr>
          <w:rFonts w:ascii="仿宋" w:hAnsi="仿宋" w:eastAsia="仿宋" w:cs="仿宋_GB2312"/>
          <w:b w:val="0"/>
          <w:bCs w:val="0"/>
          <w:sz w:val="28"/>
          <w:szCs w:val="28"/>
        </w:rPr>
      </w:pPr>
      <w:bookmarkStart w:id="12" w:name="_Toc402362577"/>
    </w:p>
    <w:p/>
    <w:p/>
    <w:p>
      <w:pPr>
        <w:pStyle w:val="14"/>
        <w:spacing w:line="500" w:lineRule="exact"/>
        <w:rPr>
          <w:rFonts w:ascii="黑体" w:hAnsi="黑体" w:eastAsia="黑体"/>
          <w:sz w:val="28"/>
          <w:szCs w:val="28"/>
        </w:rPr>
      </w:pPr>
      <w:r>
        <w:rPr>
          <w:rFonts w:hint="eastAsia" w:ascii="黑体" w:hAnsi="黑体" w:eastAsia="黑体"/>
          <w:sz w:val="28"/>
          <w:szCs w:val="28"/>
        </w:rPr>
        <w:t>二、</w:t>
      </w:r>
      <w:bookmarkEnd w:id="12"/>
      <w:r>
        <w:rPr>
          <w:rFonts w:hint="eastAsia" w:ascii="黑体" w:hAnsi="黑体" w:eastAsia="黑体"/>
          <w:sz w:val="28"/>
          <w:szCs w:val="28"/>
        </w:rPr>
        <w:t>大数据时代下拔尖人才的共青团培养面临的机遇与挑战</w:t>
      </w:r>
    </w:p>
    <w:p>
      <w:pPr>
        <w:spacing w:line="500" w:lineRule="exact"/>
        <w:rPr>
          <w:rFonts w:ascii="仿宋" w:hAnsi="仿宋" w:eastAsia="仿宋" w:cs="Times New Roman"/>
          <w:b/>
          <w:sz w:val="24"/>
          <w:szCs w:val="24"/>
        </w:rPr>
      </w:pPr>
    </w:p>
    <w:p>
      <w:pPr>
        <w:spacing w:line="500" w:lineRule="exact"/>
        <w:rPr>
          <w:rFonts w:ascii="仿宋" w:hAnsi="仿宋" w:eastAsia="仿宋" w:cs="Times New Roman"/>
          <w:b/>
          <w:sz w:val="24"/>
          <w:szCs w:val="24"/>
        </w:rPr>
      </w:pPr>
      <w:r>
        <w:rPr>
          <w:rFonts w:hint="eastAsia" w:ascii="Cambria" w:hAnsi="Cambria" w:eastAsia="宋体" w:cs="黑体"/>
          <w:b/>
          <w:bCs/>
          <w:sz w:val="24"/>
          <w:szCs w:val="24"/>
        </w:rPr>
        <w:t>（一）共青团在高校拔尖人才培养上的定位</w:t>
      </w:r>
    </w:p>
    <w:p>
      <w:pPr>
        <w:spacing w:line="500" w:lineRule="exact"/>
        <w:ind w:firstLine="480" w:firstLineChars="200"/>
        <w:rPr>
          <w:rFonts w:ascii="仿宋" w:hAnsi="仿宋" w:eastAsia="仿宋" w:cs="仿宋_GB2312"/>
          <w:sz w:val="24"/>
          <w:szCs w:val="24"/>
        </w:rPr>
      </w:pPr>
      <w:r>
        <w:rPr>
          <w:rFonts w:hint="eastAsia" w:ascii="仿宋" w:hAnsi="仿宋" w:eastAsia="仿宋" w:cs="仿宋_GB2312"/>
          <w:sz w:val="24"/>
          <w:szCs w:val="24"/>
        </w:rPr>
        <w:t>共青团是中国共产党领导下的先进青年的群众组织，其职责在于培养党的忠实助手和后备军，因而也是党联系青年的牢固桥梁和纽带</w:t>
      </w:r>
      <w:r>
        <w:rPr>
          <w:rFonts w:ascii="仿宋" w:hAnsi="仿宋" w:eastAsia="仿宋" w:cs="仿宋_GB2312"/>
          <w:sz w:val="24"/>
          <w:szCs w:val="24"/>
        </w:rPr>
        <w:t>。《国家中长期人才发展规划纲要（</w:t>
      </w:r>
      <w:r>
        <w:rPr>
          <w:rFonts w:ascii="Times New Roman" w:hAnsi="Times New Roman" w:eastAsia="仿宋" w:cs="Times New Roman"/>
          <w:sz w:val="24"/>
          <w:szCs w:val="24"/>
        </w:rPr>
        <w:t>2010-2020</w:t>
      </w:r>
      <w:r>
        <w:rPr>
          <w:rFonts w:ascii="仿宋" w:hAnsi="仿宋" w:eastAsia="仿宋" w:cs="仿宋_GB2312"/>
          <w:sz w:val="24"/>
          <w:szCs w:val="24"/>
        </w:rPr>
        <w:t>年）》提出要“着力培养信念执着、品德优良、知识丰富、本领过硬的高素质专门人才和拔尖创新人才”</w:t>
      </w:r>
      <w:r>
        <w:rPr>
          <w:rFonts w:hint="eastAsia" w:ascii="仿宋" w:hAnsi="仿宋" w:eastAsia="仿宋" w:cs="仿宋_GB2312"/>
          <w:sz w:val="24"/>
          <w:szCs w:val="24"/>
        </w:rPr>
        <w:t>。习近平总书记指出，团的工作要把握根本性问题，把培养中国特色社会主义事业建设者和接班人作为根本任务，把巩固和扩大党执政的青年群众基础作为政治责任，把围绕中心、服务大局作为工作主线。因此，</w:t>
      </w:r>
      <w:r>
        <w:rPr>
          <w:rFonts w:hint="eastAsia" w:ascii="仿宋" w:hAnsi="仿宋" w:eastAsia="仿宋" w:cs="仿宋_GB2312"/>
          <w:b/>
          <w:sz w:val="24"/>
          <w:szCs w:val="24"/>
        </w:rPr>
        <w:t>共青团在培养拔尖人才方面首先应做到把握团的先进青年群众性组织的特点</w:t>
      </w:r>
      <w:r>
        <w:rPr>
          <w:rFonts w:hint="eastAsia" w:ascii="仿宋" w:hAnsi="仿宋" w:eastAsia="仿宋" w:cs="仿宋_GB2312"/>
          <w:sz w:val="24"/>
          <w:szCs w:val="24"/>
        </w:rPr>
        <w:t>，尊重青年主体地位，以及不用行政组织、行政化的方式做青年工作，以更加贴近青年主体成长需求的方式实现育人功能。结合当下大数据时代的背景，与时俱进的共青团更应秉持一贯的首创精神，合理运用大数据技术，为人才培养提供可靠的技术支持和数据库平台，转换既有的经验性为主的育人模式，结合大数据思维，整合共青团现有的育人资源为拔尖人才培养制定个性化的培养方案。</w:t>
      </w:r>
      <w:bookmarkStart w:id="13" w:name="_Toc402362579"/>
    </w:p>
    <w:p>
      <w:pPr>
        <w:spacing w:line="500" w:lineRule="exact"/>
        <w:ind w:firstLine="480" w:firstLineChars="200"/>
        <w:rPr>
          <w:rFonts w:ascii="仿宋" w:hAnsi="仿宋" w:eastAsia="仿宋" w:cs="仿宋_GB2312"/>
          <w:sz w:val="24"/>
          <w:szCs w:val="24"/>
        </w:rPr>
      </w:pPr>
    </w:p>
    <w:p>
      <w:pPr>
        <w:spacing w:line="500" w:lineRule="exact"/>
        <w:jc w:val="left"/>
        <w:rPr>
          <w:rFonts w:ascii="仿宋" w:hAnsi="仿宋" w:eastAsia="仿宋" w:cs="仿宋_GB2312"/>
          <w:sz w:val="24"/>
          <w:szCs w:val="24"/>
        </w:rPr>
      </w:pPr>
      <w:r>
        <w:rPr>
          <w:rFonts w:hint="eastAsia" w:ascii="Cambria" w:hAnsi="Cambria" w:eastAsia="宋体" w:cs="黑体"/>
          <w:b/>
          <w:bCs/>
          <w:sz w:val="24"/>
          <w:szCs w:val="24"/>
        </w:rPr>
        <w:t>（二）大数据时代背景下拔尖人才的共青团培养面临的机遇与挑战</w:t>
      </w:r>
      <w:bookmarkEnd w:id="13"/>
    </w:p>
    <w:p>
      <w:pPr>
        <w:spacing w:line="500" w:lineRule="exact"/>
        <w:ind w:firstLine="480" w:firstLineChars="200"/>
        <w:rPr>
          <w:rFonts w:ascii="仿宋" w:hAnsi="仿宋" w:eastAsia="仿宋" w:cs="仿宋_GB2312"/>
          <w:sz w:val="24"/>
          <w:szCs w:val="24"/>
        </w:rPr>
      </w:pPr>
      <w:r>
        <w:rPr>
          <w:rFonts w:hint="eastAsia" w:ascii="仿宋" w:hAnsi="仿宋" w:eastAsia="仿宋" w:cs="仿宋_GB2312"/>
          <w:sz w:val="24"/>
          <w:szCs w:val="24"/>
        </w:rPr>
        <w:t>随着大数据技术的不断发展，巨大的数据量和丰富的数据源使得拔尖人才的共青团培养方式日趋多元化。调查结果显示</w:t>
      </w:r>
      <w:r>
        <w:rPr>
          <w:rFonts w:hint="eastAsia" w:ascii="仿宋" w:hAnsi="仿宋" w:eastAsia="仿宋" w:cs="仿宋_GB2312"/>
          <w:b/>
          <w:sz w:val="24"/>
          <w:szCs w:val="24"/>
        </w:rPr>
        <w:t>（图1）</w:t>
      </w:r>
      <w:r>
        <w:rPr>
          <w:rFonts w:hint="eastAsia" w:ascii="仿宋" w:hAnsi="仿宋" w:eastAsia="仿宋" w:cs="仿宋_GB2312"/>
          <w:sz w:val="24"/>
          <w:szCs w:val="24"/>
        </w:rPr>
        <w:t>，在“大数据”给这个时代带来的影响上，选择集中在“全球电子数据总量爆膨”</w:t>
      </w:r>
      <w:r>
        <w:rPr>
          <w:rFonts w:ascii="Times New Roman" w:hAnsi="仿宋" w:eastAsia="仿宋" w:cs="Times New Roman"/>
          <w:sz w:val="24"/>
          <w:szCs w:val="24"/>
        </w:rPr>
        <w:t>（</w:t>
      </w:r>
      <w:r>
        <w:rPr>
          <w:rFonts w:ascii="Times New Roman" w:hAnsi="Times New Roman" w:eastAsia="仿宋" w:cs="Times New Roman"/>
          <w:sz w:val="24"/>
          <w:szCs w:val="24"/>
        </w:rPr>
        <w:t>48.</w:t>
      </w:r>
      <w:r>
        <w:rPr>
          <w:rFonts w:hint="eastAsia" w:ascii="Times New Roman" w:hAnsi="Times New Roman" w:eastAsia="仿宋" w:cs="Times New Roman"/>
          <w:sz w:val="24"/>
          <w:szCs w:val="24"/>
        </w:rPr>
        <w:t>3</w:t>
      </w:r>
      <w:r>
        <w:rPr>
          <w:rFonts w:ascii="Times New Roman" w:hAnsi="Times New Roman" w:eastAsia="仿宋" w:cs="Times New Roman"/>
          <w:sz w:val="24"/>
          <w:szCs w:val="24"/>
        </w:rPr>
        <w:t>%</w:t>
      </w:r>
      <w:r>
        <w:rPr>
          <w:rFonts w:ascii="Times New Roman" w:hAnsi="仿宋" w:eastAsia="仿宋" w:cs="Times New Roman"/>
          <w:sz w:val="24"/>
          <w:szCs w:val="24"/>
        </w:rPr>
        <w:t>）</w:t>
      </w:r>
      <w:r>
        <w:rPr>
          <w:rFonts w:hint="eastAsia" w:ascii="仿宋" w:hAnsi="仿宋" w:eastAsia="仿宋" w:cs="仿宋_GB2312"/>
          <w:sz w:val="24"/>
          <w:szCs w:val="24"/>
        </w:rPr>
        <w:t>和“促进了社交媒体的使用越来越频繁”（29.0%）两项，由此可见，多数受访者对于“大数据”的“数据大”普遍有感性认识，</w:t>
      </w:r>
      <w:r>
        <w:rPr>
          <w:rFonts w:hint="eastAsia" w:ascii="仿宋" w:hAnsi="仿宋" w:eastAsia="仿宋" w:cs="仿宋_GB2312"/>
          <w:b/>
          <w:sz w:val="24"/>
          <w:szCs w:val="24"/>
        </w:rPr>
        <w:t>大数据技术带来的海量数据资源能够为人才的选拔-培养-输出提供快捷有效的数据支撑和指导，而社交媒体的频繁使用则有利于</w:t>
      </w:r>
      <w:r>
        <w:rPr>
          <w:rFonts w:ascii="仿宋" w:hAnsi="仿宋" w:eastAsia="仿宋" w:cs="Times New Roman"/>
          <w:b/>
          <w:sz w:val="24"/>
          <w:szCs w:val="24"/>
        </w:rPr>
        <w:t>增进不同学科学员</w:t>
      </w:r>
      <w:r>
        <w:rPr>
          <w:rFonts w:hint="eastAsia" w:ascii="仿宋" w:hAnsi="仿宋" w:eastAsia="仿宋" w:cs="Times New Roman"/>
          <w:b/>
          <w:sz w:val="24"/>
          <w:szCs w:val="24"/>
        </w:rPr>
        <w:t>的线上线下</w:t>
      </w:r>
      <w:r>
        <w:rPr>
          <w:rFonts w:ascii="仿宋" w:hAnsi="仿宋" w:eastAsia="仿宋" w:cs="Times New Roman"/>
          <w:b/>
          <w:sz w:val="24"/>
          <w:szCs w:val="24"/>
        </w:rPr>
        <w:t>交流，为跨学科思维</w:t>
      </w:r>
      <w:r>
        <w:rPr>
          <w:rFonts w:hint="eastAsia" w:ascii="仿宋" w:hAnsi="仿宋" w:eastAsia="仿宋" w:cs="Times New Roman"/>
          <w:b/>
          <w:sz w:val="24"/>
          <w:szCs w:val="24"/>
        </w:rPr>
        <w:t>的</w:t>
      </w:r>
      <w:r>
        <w:rPr>
          <w:rFonts w:ascii="仿宋" w:hAnsi="仿宋" w:eastAsia="仿宋" w:cs="Times New Roman"/>
          <w:b/>
          <w:sz w:val="24"/>
          <w:szCs w:val="24"/>
        </w:rPr>
        <w:t>交流提供</w:t>
      </w:r>
      <w:r>
        <w:rPr>
          <w:rFonts w:hint="eastAsia" w:ascii="仿宋" w:hAnsi="仿宋" w:eastAsia="仿宋" w:cs="Times New Roman"/>
          <w:b/>
          <w:sz w:val="24"/>
          <w:szCs w:val="24"/>
        </w:rPr>
        <w:t>载体</w:t>
      </w:r>
      <w:r>
        <w:rPr>
          <w:rFonts w:ascii="仿宋" w:hAnsi="仿宋" w:eastAsia="仿宋" w:cs="Times New Roman"/>
          <w:sz w:val="24"/>
          <w:szCs w:val="24"/>
        </w:rPr>
        <w:t>。</w:t>
      </w:r>
      <w:r>
        <w:rPr>
          <w:rFonts w:hint="eastAsia" w:ascii="仿宋" w:hAnsi="仿宋" w:eastAsia="仿宋" w:cs="Times New Roman"/>
          <w:sz w:val="24"/>
          <w:szCs w:val="24"/>
        </w:rPr>
        <w:t>总而言之，</w:t>
      </w:r>
      <w:r>
        <w:rPr>
          <w:rFonts w:hint="eastAsia" w:ascii="仿宋" w:hAnsi="仿宋" w:eastAsia="仿宋" w:cs="仿宋_GB2312"/>
          <w:sz w:val="24"/>
          <w:szCs w:val="24"/>
        </w:rPr>
        <w:t>“大数据”提供了一个培养人才</w:t>
      </w:r>
      <w:r>
        <w:rPr>
          <w:rFonts w:hint="eastAsia" w:ascii="宋体" w:hAnsi="宋体" w:eastAsia="宋体" w:cs="楷体_GB2312"/>
          <w:b/>
          <w:bCs/>
          <w:color w:val="000000"/>
          <w:kern w:val="0"/>
          <w:sz w:val="21"/>
          <w:szCs w:val="21"/>
          <w:lang w:val="en-US" w:eastAsia="zh-CN" w:bidi="ar-SA"/>
        </w:rPr>
        <w:pict>
          <v:shape id="图表 1" o:spid="_x0000_s1026" type="#_x0000_t75" style="position:absolute;left:0;margin-left:19.7pt;margin-top:181.4pt;height:220.5pt;width:382.5pt;mso-wrap-distance-bottom:0pt;mso-wrap-distance-top:0pt;rotation:0f;z-index:251659264;" o:ole="f" fillcolor="#FFFFFF" filled="f" o:preferrelative="t" stroked="f" coordorigin="0,0" coordsize="21600,21600">
            <v:fill on="f" color2="#FFFFFF" focus="0%"/>
            <v:imagedata gain="65536f" blacklevel="0f" gamma="0" o:title="" r:id="rId8"/>
            <o:lock v:ext="edit" position="f" selection="f" grouping="f" rotation="f" cropping="f" text="f" aspectratio="t"/>
            <w10:wrap type="topAndBottom"/>
          </v:shape>
        </w:pict>
      </w:r>
      <w:r>
        <w:rPr>
          <w:rFonts w:hint="eastAsia" w:ascii="仿宋" w:hAnsi="仿宋" w:eastAsia="仿宋" w:cs="仿宋_GB2312"/>
          <w:sz w:val="24"/>
          <w:szCs w:val="24"/>
        </w:rPr>
        <w:t>从被动到主动的机遇。</w:t>
      </w:r>
    </w:p>
    <w:p>
      <w:pPr>
        <w:spacing w:line="500" w:lineRule="exact"/>
        <w:jc w:val="center"/>
        <w:rPr>
          <w:rFonts w:ascii="宋体" w:hAnsi="宋体" w:cs="楷体_GB2312"/>
          <w:b/>
          <w:bCs/>
          <w:color w:val="000000"/>
          <w:kern w:val="0"/>
          <w:szCs w:val="21"/>
        </w:rPr>
      </w:pPr>
      <w:r>
        <w:rPr>
          <w:rFonts w:hint="eastAsia" w:ascii="宋体" w:hAnsi="宋体" w:cs="楷体_GB2312"/>
          <w:b/>
          <w:bCs/>
          <w:color w:val="000000"/>
          <w:kern w:val="0"/>
          <w:szCs w:val="21"/>
        </w:rPr>
        <w:t xml:space="preserve">   图1：大数据时代的主要影响方面</w:t>
      </w:r>
    </w:p>
    <w:p>
      <w:pPr>
        <w:spacing w:line="500" w:lineRule="exact"/>
        <w:jc w:val="center"/>
        <w:rPr>
          <w:rFonts w:ascii="宋体" w:hAnsi="宋体" w:cs="楷体_GB2312"/>
          <w:b/>
          <w:bCs/>
          <w:color w:val="000000"/>
          <w:kern w:val="0"/>
          <w:szCs w:val="21"/>
        </w:rPr>
      </w:pPr>
    </w:p>
    <w:p>
      <w:pPr>
        <w:pStyle w:val="13"/>
        <w:widowControl/>
        <w:spacing w:line="500" w:lineRule="exact"/>
        <w:ind w:firstLine="560"/>
        <w:rPr>
          <w:rFonts w:ascii="仿宋" w:hAnsi="仿宋" w:eastAsia="仿宋" w:cs="华文仿宋"/>
        </w:rPr>
      </w:pPr>
      <w:r>
        <w:rPr>
          <w:rFonts w:hint="eastAsia" w:ascii="仿宋" w:hAnsi="仿宋" w:eastAsia="仿宋"/>
          <w:b/>
        </w:rPr>
        <w:t>同时，</w:t>
      </w:r>
      <w:r>
        <w:rPr>
          <w:rFonts w:hint="eastAsia" w:ascii="仿宋" w:hAnsi="仿宋" w:eastAsia="仿宋"/>
          <w:b/>
          <w:lang w:val="zh-TW" w:eastAsia="zh-TW"/>
        </w:rPr>
        <w:t>大数据时代背景下，丰富的互联网资源与多元的人才发展途径</w:t>
      </w:r>
      <w:r>
        <w:rPr>
          <w:rFonts w:hint="eastAsia" w:ascii="仿宋" w:hAnsi="仿宋" w:eastAsia="仿宋"/>
          <w:b/>
          <w:lang w:val="zh-TW"/>
        </w:rPr>
        <w:t>也</w:t>
      </w:r>
      <w:r>
        <w:rPr>
          <w:rFonts w:hint="eastAsia" w:ascii="仿宋" w:hAnsi="仿宋" w:eastAsia="仿宋"/>
          <w:b/>
          <w:lang w:val="zh-TW" w:eastAsia="zh-TW"/>
        </w:rPr>
        <w:t>给既有的人才培养模式带来了冲击</w:t>
      </w:r>
      <w:r>
        <w:rPr>
          <w:rFonts w:hint="eastAsia" w:ascii="仿宋" w:hAnsi="仿宋" w:eastAsia="仿宋"/>
          <w:lang w:val="zh-TW" w:eastAsia="zh-TW"/>
        </w:rPr>
        <w:t>：这主要体现为以下方面：</w:t>
      </w:r>
      <w:r>
        <w:rPr>
          <w:rFonts w:hint="eastAsia" w:ascii="仿宋" w:hAnsi="仿宋" w:eastAsia="仿宋"/>
          <w:b/>
          <w:lang w:val="zh-TW" w:eastAsia="zh-TW"/>
        </w:rPr>
        <w:t>其一，</w:t>
      </w:r>
      <w:r>
        <w:rPr>
          <w:rFonts w:hint="eastAsia" w:ascii="仿宋" w:hAnsi="仿宋" w:eastAsia="仿宋"/>
          <w:lang w:val="zh-TW" w:eastAsia="zh-TW"/>
        </w:rPr>
        <w:t>在互联网高度发达的当下，各类课程资源极大丰富，人们在获得各种学习机会的过程中也因互联网的交互性、共享性而更趋便捷。无论是重洋之外的课程资料，还是哈佛耶鲁等世界名校一流学者的公开讲座，学员均可以通过网络快速获得，也使得学员的视野大大拓展，这无形中对共青团</w:t>
      </w:r>
      <w:r>
        <w:rPr>
          <w:rFonts w:ascii="仿宋" w:hAnsi="仿宋" w:eastAsia="仿宋"/>
        </w:rPr>
        <w:t>既有</w:t>
      </w:r>
      <w:r>
        <w:rPr>
          <w:rFonts w:hint="eastAsia" w:ascii="仿宋" w:hAnsi="仿宋" w:eastAsia="仿宋"/>
          <w:lang w:val="zh-TW" w:eastAsia="zh-TW"/>
        </w:rPr>
        <w:t>特色课程对学员的号召力和影响力都带来了冲击，也使学员对课程本身在内容和品质有了更高的要求和期待。</w:t>
      </w:r>
      <w:r>
        <w:rPr>
          <w:rFonts w:hint="eastAsia" w:ascii="仿宋" w:hAnsi="仿宋" w:eastAsia="仿宋"/>
          <w:b/>
          <w:lang w:val="zh-TW" w:eastAsia="zh-TW"/>
        </w:rPr>
        <w:t>其二，</w:t>
      </w:r>
      <w:r>
        <w:rPr>
          <w:rFonts w:ascii="仿宋" w:hAnsi="仿宋" w:eastAsia="仿宋" w:cs="仿宋"/>
          <w:lang w:val="zh-TW" w:eastAsia="zh-TW"/>
        </w:rPr>
        <w:t>大数据时代背景下</w:t>
      </w:r>
      <w:r>
        <w:rPr>
          <w:rFonts w:hint="eastAsia" w:ascii="仿宋" w:hAnsi="仿宋" w:eastAsia="仿宋"/>
          <w:lang w:val="zh-TW" w:eastAsia="zh-TW"/>
        </w:rPr>
        <w:t>，</w:t>
      </w:r>
      <w:r>
        <w:rPr>
          <w:rFonts w:ascii="仿宋" w:hAnsi="仿宋" w:eastAsia="仿宋" w:cs="仿宋"/>
          <w:lang w:val="zh-TW" w:eastAsia="zh-TW"/>
        </w:rPr>
        <w:t>各种新的、强大的数据源会持续爆炸式地增长，它们将对人们的生活、工作和思维产生巨大的影响。这</w:t>
      </w:r>
      <w:r>
        <w:rPr>
          <w:rFonts w:hint="eastAsia" w:ascii="仿宋" w:hAnsi="仿宋" w:eastAsia="仿宋"/>
          <w:lang w:val="zh-TW" w:eastAsia="zh-TW"/>
        </w:rPr>
        <w:t>对传统人才评价体系也带来巨大冲击。这主要表现在，传统对人才的评价往往是经验性评价，是对已有成果、已有资历作出的判断。然而创新型人才是发展中的人才，需要的是面向未来的评价，是</w:t>
      </w:r>
      <w:r>
        <w:rPr>
          <w:rFonts w:ascii="仿宋" w:hAnsi="仿宋" w:eastAsia="仿宋"/>
        </w:rPr>
        <w:t>“</w:t>
      </w:r>
      <w:r>
        <w:rPr>
          <w:rFonts w:hint="eastAsia" w:ascii="仿宋" w:hAnsi="仿宋" w:eastAsia="仿宋"/>
          <w:lang w:val="zh-TW" w:eastAsia="zh-TW"/>
        </w:rPr>
        <w:t>加油站</w:t>
      </w:r>
      <w:r>
        <w:rPr>
          <w:rFonts w:ascii="仿宋" w:hAnsi="仿宋" w:eastAsia="仿宋"/>
        </w:rPr>
        <w:t>”</w:t>
      </w:r>
      <w:r>
        <w:rPr>
          <w:rFonts w:hint="eastAsia" w:ascii="仿宋" w:hAnsi="仿宋" w:eastAsia="仿宋"/>
          <w:lang w:val="zh-TW" w:eastAsia="zh-TW"/>
        </w:rPr>
        <w:t>式的评价，评价要能为他们的未来发展加油鼓劲。这对既有人才评价体系和评价过程不得不说是一个巨大挑战。</w:t>
      </w:r>
      <w:r>
        <w:rPr>
          <w:rFonts w:hint="eastAsia" w:ascii="仿宋" w:hAnsi="仿宋" w:eastAsia="仿宋"/>
          <w:b/>
          <w:lang w:val="zh-TW" w:eastAsia="zh-TW"/>
        </w:rPr>
        <w:t>其三，</w:t>
      </w:r>
      <w:r>
        <w:rPr>
          <w:rFonts w:hint="eastAsia" w:ascii="仿宋" w:hAnsi="仿宋" w:eastAsia="仿宋"/>
          <w:lang w:val="zh-TW" w:eastAsia="zh-TW"/>
        </w:rPr>
        <w:t>网络共享交互平台的日趋便捷使得跨文化、跨国际的学习共同体构建成为可能并日趋虚拟化，人才发展途径更加多元。以</w:t>
      </w:r>
      <w:r>
        <w:rPr>
          <w:rFonts w:ascii="Times New Roman"/>
        </w:rPr>
        <w:t>Mooc</w:t>
      </w:r>
      <w:r>
        <w:rPr>
          <w:rFonts w:ascii="Times New Roman" w:hAnsi="Times New Roman" w:eastAsia="Times New Roman" w:cs="Times New Roman"/>
          <w:vertAlign w:val="superscript"/>
        </w:rPr>
        <w:footnoteReference w:id="0"/>
      </w:r>
      <w:r>
        <w:rPr>
          <w:rFonts w:hint="eastAsia" w:ascii="仿宋" w:hAnsi="仿宋" w:eastAsia="仿宋"/>
          <w:lang w:val="zh-TW" w:eastAsia="zh-TW"/>
        </w:rPr>
        <w:t>网络开放课程为代表的开放课程平台的蓬勃发展，使得跨国际的学习共同体成为可能，人才的培养正在突破传统大学的砖墙，向虚拟空间蔓延，</w:t>
      </w:r>
      <w:r>
        <w:rPr>
          <w:rFonts w:ascii="仿宋" w:hAnsi="仿宋" w:eastAsia="仿宋"/>
          <w:lang w:eastAsia="zh-TW"/>
        </w:rPr>
        <w:t>日益多元的人才发展路径使得既有共青团培育模式的特色和优势逐步弱化</w:t>
      </w:r>
      <w:r>
        <w:rPr>
          <w:rFonts w:hint="eastAsia" w:ascii="仿宋" w:hAnsi="仿宋" w:eastAsia="仿宋"/>
        </w:rPr>
        <w:t>，</w:t>
      </w:r>
      <w:r>
        <w:rPr>
          <w:rFonts w:ascii="仿宋" w:hAnsi="仿宋" w:eastAsia="仿宋"/>
          <w:lang w:eastAsia="zh-TW"/>
        </w:rPr>
        <w:t>共青团亟需与时俱进</w:t>
      </w:r>
      <w:r>
        <w:rPr>
          <w:rFonts w:hint="eastAsia" w:ascii="仿宋" w:hAnsi="仿宋" w:eastAsia="仿宋"/>
        </w:rPr>
        <w:t>、顺势而为，探寻大数据时代背景下共青团培育拔尖人才的有力抓手</w:t>
      </w:r>
      <w:r>
        <w:rPr>
          <w:rFonts w:hint="eastAsia" w:ascii="仿宋" w:hAnsi="仿宋" w:eastAsia="仿宋"/>
          <w:lang w:val="zh-TW" w:eastAsia="zh-TW"/>
        </w:rPr>
        <w:t>。</w:t>
      </w:r>
    </w:p>
    <w:p>
      <w:pPr>
        <w:pStyle w:val="14"/>
        <w:spacing w:line="500" w:lineRule="exact"/>
      </w:pPr>
      <w:bookmarkStart w:id="14" w:name="_Toc402362580"/>
    </w:p>
    <w:p/>
    <w:p>
      <w:pPr>
        <w:pStyle w:val="14"/>
        <w:spacing w:line="500" w:lineRule="exact"/>
        <w:jc w:val="both"/>
        <w:rPr>
          <w:rFonts w:ascii="黑体" w:hAnsi="黑体" w:eastAsia="黑体"/>
          <w:sz w:val="28"/>
          <w:szCs w:val="28"/>
        </w:rPr>
      </w:pPr>
    </w:p>
    <w:p>
      <w:pPr>
        <w:pStyle w:val="14"/>
        <w:spacing w:line="500" w:lineRule="exact"/>
        <w:rPr>
          <w:rFonts w:ascii="黑体" w:hAnsi="黑体" w:eastAsia="黑体"/>
          <w:sz w:val="28"/>
          <w:szCs w:val="28"/>
        </w:rPr>
      </w:pPr>
      <w:r>
        <w:rPr>
          <w:rFonts w:hint="eastAsia" w:ascii="黑体" w:hAnsi="黑体" w:eastAsia="黑体"/>
          <w:sz w:val="28"/>
          <w:szCs w:val="28"/>
        </w:rPr>
        <w:t>三、华东师范大学共青团拔尖人才培养模式研究</w:t>
      </w:r>
      <w:bookmarkEnd w:id="14"/>
      <w:r>
        <w:rPr>
          <w:rFonts w:hint="eastAsia" w:ascii="黑体" w:hAnsi="黑体" w:eastAsia="黑体"/>
          <w:sz w:val="28"/>
          <w:szCs w:val="28"/>
        </w:rPr>
        <w:t>——以“二十一世纪人才学院”为例</w:t>
      </w:r>
    </w:p>
    <w:p>
      <w:pPr>
        <w:pStyle w:val="14"/>
        <w:spacing w:line="500" w:lineRule="exact"/>
        <w:jc w:val="both"/>
        <w:rPr>
          <w:sz w:val="24"/>
          <w:szCs w:val="24"/>
        </w:rPr>
      </w:pPr>
    </w:p>
    <w:p>
      <w:pPr>
        <w:pStyle w:val="14"/>
        <w:spacing w:line="500" w:lineRule="exact"/>
        <w:jc w:val="both"/>
        <w:rPr>
          <w:sz w:val="24"/>
          <w:szCs w:val="24"/>
        </w:rPr>
      </w:pPr>
      <w:r>
        <w:rPr>
          <w:rFonts w:hint="eastAsia"/>
          <w:sz w:val="24"/>
          <w:szCs w:val="24"/>
        </w:rPr>
        <w:t>（一）“二十一世纪人才学院”人才培养模式</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132"/>
        </w:tabs>
        <w:spacing w:line="500" w:lineRule="exact"/>
        <w:ind w:firstLine="567"/>
        <w:rPr>
          <w:rFonts w:ascii="仿宋" w:hAnsi="仿宋" w:eastAsia="仿宋"/>
          <w:sz w:val="24"/>
          <w:szCs w:val="24"/>
        </w:rPr>
      </w:pPr>
      <w:r>
        <w:rPr>
          <w:rFonts w:ascii="仿宋" w:hAnsi="仿宋" w:eastAsia="仿宋"/>
          <w:sz w:val="24"/>
          <w:szCs w:val="24"/>
        </w:rPr>
        <w:t>华东师范大学</w:t>
      </w:r>
      <w:r>
        <w:rPr>
          <w:rFonts w:hint="eastAsia" w:ascii="仿宋" w:hAnsi="仿宋" w:eastAsia="仿宋"/>
          <w:sz w:val="24"/>
          <w:szCs w:val="24"/>
        </w:rPr>
        <w:t>“</w:t>
      </w:r>
      <w:r>
        <w:rPr>
          <w:rFonts w:ascii="仿宋" w:hAnsi="仿宋" w:eastAsia="仿宋"/>
          <w:sz w:val="24"/>
          <w:szCs w:val="24"/>
        </w:rPr>
        <w:t>二十一世纪人才学院</w:t>
      </w:r>
      <w:r>
        <w:rPr>
          <w:rFonts w:hint="eastAsia" w:ascii="仿宋" w:hAnsi="仿宋" w:eastAsia="仿宋"/>
          <w:sz w:val="24"/>
          <w:szCs w:val="24"/>
        </w:rPr>
        <w:t>”</w:t>
      </w:r>
      <w:r>
        <w:rPr>
          <w:rFonts w:ascii="仿宋" w:hAnsi="仿宋" w:eastAsia="仿宋"/>
          <w:sz w:val="24"/>
          <w:szCs w:val="24"/>
        </w:rPr>
        <w:t>成立于</w:t>
      </w:r>
      <w:r>
        <w:rPr>
          <w:rFonts w:ascii="Times New Roman" w:hAnsi="Times New Roman" w:cs="Times New Roman"/>
          <w:sz w:val="24"/>
          <w:szCs w:val="24"/>
        </w:rPr>
        <w:t>1994</w:t>
      </w:r>
      <w:r>
        <w:rPr>
          <w:rFonts w:hint="eastAsia" w:ascii="仿宋" w:hAnsi="仿宋" w:eastAsia="仿宋"/>
          <w:sz w:val="24"/>
          <w:szCs w:val="24"/>
        </w:rPr>
        <w:t>年，旨在为给党和国家发掘、培养、输送符合新世纪、新形势发展要求的优秀人才，本着以</w:t>
      </w:r>
      <w:r>
        <w:rPr>
          <w:rFonts w:ascii="仿宋" w:hAnsi="仿宋" w:eastAsia="仿宋"/>
          <w:sz w:val="24"/>
          <w:szCs w:val="24"/>
        </w:rPr>
        <w:t>“</w:t>
      </w:r>
      <w:r>
        <w:rPr>
          <w:rFonts w:hint="eastAsia" w:ascii="仿宋" w:hAnsi="仿宋" w:eastAsia="仿宋"/>
          <w:sz w:val="24"/>
          <w:szCs w:val="24"/>
        </w:rPr>
        <w:t>信念引导人、知识塑造人、实践锻炼人、能力培养人</w:t>
      </w:r>
      <w:r>
        <w:rPr>
          <w:rFonts w:ascii="仿宋" w:hAnsi="仿宋" w:eastAsia="仿宋"/>
          <w:sz w:val="24"/>
          <w:szCs w:val="24"/>
        </w:rPr>
        <w:t>”</w:t>
      </w:r>
      <w:r>
        <w:rPr>
          <w:rFonts w:hint="eastAsia" w:ascii="仿宋" w:hAnsi="仿宋" w:eastAsia="仿宋"/>
          <w:sz w:val="24"/>
          <w:szCs w:val="24"/>
        </w:rPr>
        <w:t>的宗旨，在全国首创性地建立了大学跨学科、多领域的精英、复合型人才培育模式。从</w:t>
      </w:r>
      <w:r>
        <w:rPr>
          <w:rFonts w:ascii="Times New Roman" w:hAnsi="Times New Roman" w:cs="Times New Roman"/>
          <w:sz w:val="24"/>
          <w:szCs w:val="24"/>
        </w:rPr>
        <w:t>1994</w:t>
      </w:r>
      <w:r>
        <w:rPr>
          <w:rFonts w:hint="eastAsia" w:ascii="仿宋" w:hAnsi="仿宋" w:eastAsia="仿宋"/>
          <w:sz w:val="24"/>
          <w:szCs w:val="24"/>
        </w:rPr>
        <w:t>年至</w:t>
      </w:r>
      <w:r>
        <w:rPr>
          <w:rFonts w:ascii="Times New Roman" w:hAnsi="Times New Roman" w:cs="Times New Roman"/>
          <w:sz w:val="24"/>
          <w:szCs w:val="24"/>
        </w:rPr>
        <w:t>20</w:t>
      </w:r>
      <w:r>
        <w:rPr>
          <w:rFonts w:hint="eastAsia" w:ascii="Times New Roman" w:hAnsi="Times New Roman" w:cs="Times New Roman"/>
          <w:sz w:val="24"/>
          <w:szCs w:val="24"/>
        </w:rPr>
        <w:t>14</w:t>
      </w:r>
      <w:r>
        <w:rPr>
          <w:rFonts w:hint="eastAsia" w:ascii="仿宋" w:hAnsi="仿宋" w:eastAsia="仿宋"/>
          <w:sz w:val="24"/>
          <w:szCs w:val="24"/>
        </w:rPr>
        <w:t>年的二十年间，人才学院从无到有，在培养理念、培养方式、课程设置等方面，逐步建立起一套相对完整的培养体系。尤其是进入</w:t>
      </w:r>
      <w:r>
        <w:rPr>
          <w:rFonts w:ascii="Times New Roman" w:hAnsi="Times New Roman" w:eastAsia="仿宋" w:cs="Times New Roman"/>
          <w:sz w:val="24"/>
          <w:szCs w:val="24"/>
        </w:rPr>
        <w:t>2006</w:t>
      </w:r>
      <w:r>
        <w:rPr>
          <w:rFonts w:hint="eastAsia" w:ascii="仿宋" w:hAnsi="仿宋" w:eastAsia="仿宋"/>
          <w:sz w:val="24"/>
          <w:szCs w:val="24"/>
        </w:rPr>
        <w:t>年，国务院颁布了《国家中长期科学和技术发展规划纲要》</w:t>
      </w:r>
      <w:r>
        <w:rPr>
          <w:rFonts w:ascii="华文仿宋"/>
          <w:sz w:val="24"/>
          <w:szCs w:val="24"/>
        </w:rPr>
        <w:t>(</w:t>
      </w:r>
      <w:r>
        <w:rPr>
          <w:rFonts w:ascii="Times New Roman" w:hAnsi="Times New Roman" w:cs="Times New Roman"/>
          <w:sz w:val="24"/>
          <w:szCs w:val="24"/>
        </w:rPr>
        <w:t>2006</w:t>
      </w:r>
      <w:r>
        <w:rPr>
          <w:rFonts w:hint="eastAsia" w:ascii="Times New Roman" w:hAnsi="Times New Roman" w:cs="Times New Roman"/>
          <w:sz w:val="24"/>
          <w:szCs w:val="24"/>
        </w:rPr>
        <w:t>—</w:t>
      </w:r>
      <w:r>
        <w:rPr>
          <w:rFonts w:ascii="Times New Roman" w:hAnsi="Times New Roman" w:cs="Times New Roman"/>
          <w:sz w:val="24"/>
          <w:szCs w:val="24"/>
        </w:rPr>
        <w:t>2020</w:t>
      </w:r>
      <w:r>
        <w:rPr>
          <w:rFonts w:hint="eastAsia" w:ascii="仿宋" w:hAnsi="仿宋" w:eastAsia="仿宋"/>
          <w:sz w:val="24"/>
          <w:szCs w:val="24"/>
        </w:rPr>
        <w:t>年</w:t>
      </w:r>
      <w:r>
        <w:rPr>
          <w:rFonts w:ascii="仿宋" w:hAnsi="仿宋" w:eastAsia="仿宋"/>
          <w:sz w:val="24"/>
          <w:szCs w:val="24"/>
        </w:rPr>
        <w:t>)</w:t>
      </w:r>
      <w:r>
        <w:rPr>
          <w:rFonts w:hint="eastAsia" w:ascii="仿宋" w:hAnsi="仿宋" w:eastAsia="仿宋"/>
          <w:sz w:val="24"/>
          <w:szCs w:val="24"/>
        </w:rPr>
        <w:t>，提出</w:t>
      </w:r>
      <w:r>
        <w:rPr>
          <w:rFonts w:ascii="仿宋" w:hAnsi="仿宋" w:eastAsia="仿宋"/>
          <w:sz w:val="24"/>
          <w:szCs w:val="24"/>
        </w:rPr>
        <w:t>“</w:t>
      </w:r>
      <w:r>
        <w:rPr>
          <w:rFonts w:hint="eastAsia" w:ascii="仿宋" w:hAnsi="仿宋" w:eastAsia="仿宋"/>
          <w:sz w:val="24"/>
          <w:szCs w:val="24"/>
        </w:rPr>
        <w:t>自主创新、重点跨越、支撑发展、引领未来</w:t>
      </w:r>
      <w:r>
        <w:rPr>
          <w:rFonts w:ascii="仿宋" w:hAnsi="仿宋" w:eastAsia="仿宋"/>
          <w:sz w:val="24"/>
          <w:szCs w:val="24"/>
        </w:rPr>
        <w:t>”</w:t>
      </w:r>
      <w:r>
        <w:rPr>
          <w:rFonts w:hint="eastAsia" w:ascii="仿宋" w:hAnsi="仿宋" w:eastAsia="仿宋"/>
          <w:sz w:val="24"/>
          <w:szCs w:val="24"/>
        </w:rPr>
        <w:t>的十六字方针。同年，随着华东师范大学进入</w:t>
      </w:r>
      <w:r>
        <w:rPr>
          <w:rFonts w:hAnsi="华文仿宋"/>
          <w:sz w:val="24"/>
          <w:szCs w:val="24"/>
        </w:rPr>
        <w:t>“</w:t>
      </w:r>
      <w:r>
        <w:rPr>
          <w:rFonts w:ascii="Times New Roman" w:hAnsi="Times New Roman" w:cs="Times New Roman"/>
          <w:sz w:val="24"/>
          <w:szCs w:val="24"/>
        </w:rPr>
        <w:t>985</w:t>
      </w:r>
      <w:r>
        <w:rPr>
          <w:rFonts w:hint="eastAsia" w:ascii="仿宋" w:hAnsi="仿宋" w:eastAsia="仿宋"/>
          <w:sz w:val="24"/>
          <w:szCs w:val="24"/>
        </w:rPr>
        <w:t>工程</w:t>
      </w:r>
      <w:r>
        <w:rPr>
          <w:rFonts w:ascii="仿宋" w:hAnsi="仿宋" w:eastAsia="仿宋"/>
          <w:sz w:val="24"/>
          <w:szCs w:val="24"/>
        </w:rPr>
        <w:t>”</w:t>
      </w:r>
      <w:r>
        <w:rPr>
          <w:rFonts w:hint="eastAsia" w:ascii="仿宋" w:hAnsi="仿宋" w:eastAsia="仿宋"/>
          <w:sz w:val="24"/>
          <w:szCs w:val="24"/>
        </w:rPr>
        <w:t>二期名录，学校在建设世界知名的高水平研究型大学的道路上迈出了坚实步伐。在此背景下，人才学院把握时代脉搏，与时俱进、开拓创新，在培养理念、培育方式、课程设置等方面稳步探索创新人才培养机制：</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132"/>
        </w:tabs>
        <w:spacing w:line="500" w:lineRule="exact"/>
        <w:ind w:firstLine="567"/>
        <w:rPr>
          <w:rFonts w:ascii="仿宋" w:hAnsi="仿宋" w:eastAsia="仿宋"/>
          <w:sz w:val="24"/>
          <w:szCs w:val="24"/>
        </w:rPr>
      </w:pPr>
      <w:bookmarkStart w:id="15" w:name="_Toc402362582"/>
      <w:r>
        <w:rPr>
          <w:rFonts w:ascii="Times New Roman" w:hAnsi="Times New Roman" w:cs="Times New Roman"/>
          <w:b/>
          <w:sz w:val="24"/>
          <w:szCs w:val="24"/>
        </w:rPr>
        <w:t>1</w:t>
      </w:r>
      <w:r>
        <w:rPr>
          <w:rFonts w:ascii="Times New Roman" w:cs="Times New Roman"/>
          <w:b/>
          <w:sz w:val="24"/>
          <w:szCs w:val="24"/>
        </w:rPr>
        <w:t>、</w:t>
      </w:r>
      <w:r>
        <w:rPr>
          <w:rFonts w:hint="eastAsia" w:ascii="仿宋" w:hAnsi="仿宋" w:eastAsia="仿宋"/>
          <w:b/>
          <w:sz w:val="24"/>
          <w:szCs w:val="24"/>
        </w:rPr>
        <w:t>明确打造</w:t>
      </w:r>
      <w:r>
        <w:rPr>
          <w:rFonts w:ascii="仿宋" w:hAnsi="仿宋" w:eastAsia="仿宋"/>
          <w:b/>
          <w:sz w:val="24"/>
          <w:szCs w:val="24"/>
        </w:rPr>
        <w:t>“</w:t>
      </w:r>
      <w:r>
        <w:rPr>
          <w:rFonts w:hint="eastAsia" w:ascii="仿宋" w:hAnsi="仿宋" w:eastAsia="仿宋"/>
          <w:b/>
          <w:sz w:val="24"/>
          <w:szCs w:val="24"/>
        </w:rPr>
        <w:t>未来精英俱乐部</w:t>
      </w:r>
      <w:r>
        <w:rPr>
          <w:rFonts w:ascii="仿宋" w:hAnsi="仿宋" w:eastAsia="仿宋"/>
          <w:b/>
          <w:sz w:val="24"/>
          <w:szCs w:val="24"/>
        </w:rPr>
        <w:t>”</w:t>
      </w:r>
      <w:r>
        <w:rPr>
          <w:rFonts w:hint="eastAsia" w:ascii="仿宋" w:hAnsi="仿宋" w:eastAsia="仿宋"/>
          <w:b/>
          <w:sz w:val="24"/>
          <w:szCs w:val="24"/>
        </w:rPr>
        <w:t>的建院宗旨：</w:t>
      </w:r>
      <w:r>
        <w:rPr>
          <w:rFonts w:hint="eastAsia" w:ascii="仿宋" w:hAnsi="仿宋" w:eastAsia="仿宋"/>
          <w:sz w:val="24"/>
          <w:szCs w:val="24"/>
        </w:rPr>
        <w:t>学院以</w:t>
      </w:r>
      <w:r>
        <w:rPr>
          <w:rFonts w:ascii="仿宋" w:hAnsi="仿宋" w:eastAsia="仿宋"/>
          <w:sz w:val="24"/>
          <w:szCs w:val="24"/>
        </w:rPr>
        <w:t>“</w:t>
      </w:r>
      <w:r>
        <w:rPr>
          <w:rFonts w:hint="eastAsia" w:ascii="仿宋" w:hAnsi="仿宋" w:eastAsia="仿宋"/>
          <w:sz w:val="24"/>
          <w:szCs w:val="24"/>
        </w:rPr>
        <w:t>信念引导人、知识塑造人、实践锻炼人、能力培养人</w:t>
      </w:r>
      <w:r>
        <w:rPr>
          <w:rFonts w:ascii="仿宋" w:hAnsi="仿宋" w:eastAsia="仿宋"/>
          <w:sz w:val="24"/>
          <w:szCs w:val="24"/>
        </w:rPr>
        <w:t>”</w:t>
      </w:r>
      <w:r>
        <w:rPr>
          <w:rFonts w:hint="eastAsia" w:ascii="仿宋" w:hAnsi="仿宋" w:eastAsia="仿宋"/>
          <w:sz w:val="24"/>
          <w:szCs w:val="24"/>
        </w:rPr>
        <w:t>为宗旨，在发展过程中紧紧围绕</w:t>
      </w:r>
      <w:r>
        <w:rPr>
          <w:rFonts w:ascii="仿宋" w:hAnsi="仿宋" w:eastAsia="仿宋"/>
          <w:sz w:val="24"/>
          <w:szCs w:val="24"/>
        </w:rPr>
        <w:t>“</w:t>
      </w:r>
      <w:r>
        <w:rPr>
          <w:rFonts w:hint="eastAsia" w:ascii="仿宋" w:hAnsi="仿宋" w:eastAsia="仿宋"/>
          <w:sz w:val="24"/>
          <w:szCs w:val="24"/>
        </w:rPr>
        <w:t>为谁培养人才</w:t>
      </w:r>
      <w:r>
        <w:rPr>
          <w:rFonts w:ascii="仿宋" w:hAnsi="仿宋" w:eastAsia="仿宋"/>
          <w:sz w:val="24"/>
          <w:szCs w:val="24"/>
        </w:rPr>
        <w:t>”</w:t>
      </w:r>
      <w:r>
        <w:rPr>
          <w:rFonts w:hint="eastAsia" w:ascii="仿宋" w:hAnsi="仿宋" w:eastAsia="仿宋"/>
          <w:sz w:val="24"/>
          <w:szCs w:val="24"/>
        </w:rPr>
        <w:t>、</w:t>
      </w:r>
      <w:r>
        <w:rPr>
          <w:rFonts w:ascii="仿宋" w:hAnsi="仿宋" w:eastAsia="仿宋"/>
          <w:sz w:val="24"/>
          <w:szCs w:val="24"/>
        </w:rPr>
        <w:t>“</w:t>
      </w:r>
      <w:r>
        <w:rPr>
          <w:rFonts w:hint="eastAsia" w:ascii="仿宋" w:hAnsi="仿宋" w:eastAsia="仿宋"/>
          <w:sz w:val="24"/>
          <w:szCs w:val="24"/>
        </w:rPr>
        <w:t>培养什么样的人才</w:t>
      </w:r>
      <w:r>
        <w:rPr>
          <w:rFonts w:ascii="仿宋" w:hAnsi="仿宋" w:eastAsia="仿宋"/>
          <w:sz w:val="24"/>
          <w:szCs w:val="24"/>
        </w:rPr>
        <w:t>”</w:t>
      </w:r>
      <w:r>
        <w:rPr>
          <w:rFonts w:hint="eastAsia" w:ascii="仿宋" w:hAnsi="仿宋" w:eastAsia="仿宋"/>
          <w:sz w:val="24"/>
          <w:szCs w:val="24"/>
        </w:rPr>
        <w:t>两大问题，明确了为国家、民族、社会、学校培养</w:t>
      </w:r>
      <w:r>
        <w:rPr>
          <w:rFonts w:ascii="仿宋" w:hAnsi="仿宋" w:eastAsia="仿宋"/>
          <w:sz w:val="24"/>
          <w:szCs w:val="24"/>
        </w:rPr>
        <w:t>“</w:t>
      </w:r>
      <w:r>
        <w:rPr>
          <w:rFonts w:hint="eastAsia" w:ascii="仿宋" w:hAnsi="仿宋" w:eastAsia="仿宋"/>
          <w:sz w:val="24"/>
          <w:szCs w:val="24"/>
        </w:rPr>
        <w:t>拔尖创新人才</w:t>
      </w:r>
      <w:r>
        <w:rPr>
          <w:rFonts w:ascii="仿宋" w:hAnsi="仿宋" w:eastAsia="仿宋"/>
          <w:sz w:val="24"/>
          <w:szCs w:val="24"/>
        </w:rPr>
        <w:t>”</w:t>
      </w:r>
      <w:r>
        <w:rPr>
          <w:rFonts w:hint="eastAsia" w:ascii="仿宋" w:hAnsi="仿宋" w:eastAsia="仿宋"/>
          <w:sz w:val="24"/>
          <w:szCs w:val="24"/>
        </w:rPr>
        <w:t>。以把握</w:t>
      </w:r>
      <w:r>
        <w:rPr>
          <w:rFonts w:ascii="仿宋" w:hAnsi="仿宋" w:eastAsia="仿宋"/>
          <w:sz w:val="24"/>
          <w:szCs w:val="24"/>
        </w:rPr>
        <w:t>“</w:t>
      </w:r>
      <w:r>
        <w:rPr>
          <w:rFonts w:hint="eastAsia" w:ascii="仿宋" w:hAnsi="仿宋" w:eastAsia="仿宋"/>
          <w:sz w:val="24"/>
          <w:szCs w:val="24"/>
        </w:rPr>
        <w:t>当下</w:t>
      </w:r>
      <w:r>
        <w:rPr>
          <w:rFonts w:ascii="仿宋" w:hAnsi="仿宋" w:eastAsia="仿宋"/>
          <w:sz w:val="24"/>
          <w:szCs w:val="24"/>
        </w:rPr>
        <w:t>”</w:t>
      </w:r>
      <w:r>
        <w:rPr>
          <w:rFonts w:hint="eastAsia" w:ascii="仿宋" w:hAnsi="仿宋" w:eastAsia="仿宋"/>
          <w:sz w:val="24"/>
          <w:szCs w:val="24"/>
        </w:rPr>
        <w:t>与</w:t>
      </w:r>
      <w:r>
        <w:rPr>
          <w:rFonts w:ascii="仿宋" w:hAnsi="仿宋" w:eastAsia="仿宋"/>
          <w:sz w:val="24"/>
          <w:szCs w:val="24"/>
        </w:rPr>
        <w:t>“</w:t>
      </w:r>
      <w:r>
        <w:rPr>
          <w:rFonts w:hint="eastAsia" w:ascii="仿宋" w:hAnsi="仿宋" w:eastAsia="仿宋"/>
          <w:sz w:val="24"/>
          <w:szCs w:val="24"/>
        </w:rPr>
        <w:t>未来</w:t>
      </w:r>
      <w:r>
        <w:rPr>
          <w:rFonts w:ascii="仿宋" w:hAnsi="仿宋" w:eastAsia="仿宋"/>
          <w:sz w:val="24"/>
          <w:szCs w:val="24"/>
        </w:rPr>
        <w:t>”</w:t>
      </w:r>
      <w:r>
        <w:rPr>
          <w:rFonts w:hint="eastAsia" w:ascii="仿宋" w:hAnsi="仿宋" w:eastAsia="仿宋"/>
          <w:sz w:val="24"/>
          <w:szCs w:val="24"/>
        </w:rPr>
        <w:t>为着眼点，重新定位人才学院在当下的角色为</w:t>
      </w:r>
      <w:r>
        <w:rPr>
          <w:rFonts w:ascii="仿宋" w:hAnsi="仿宋" w:eastAsia="仿宋"/>
          <w:sz w:val="24"/>
          <w:szCs w:val="24"/>
        </w:rPr>
        <w:t>“</w:t>
      </w:r>
      <w:r>
        <w:rPr>
          <w:rFonts w:hint="eastAsia" w:ascii="仿宋" w:hAnsi="仿宋" w:eastAsia="仿宋"/>
          <w:sz w:val="24"/>
          <w:szCs w:val="24"/>
        </w:rPr>
        <w:t>未来精英俱乐部</w:t>
      </w:r>
      <w:r>
        <w:rPr>
          <w:rFonts w:ascii="仿宋" w:hAnsi="仿宋" w:eastAsia="仿宋"/>
          <w:sz w:val="24"/>
          <w:szCs w:val="24"/>
        </w:rPr>
        <w:t>”</w:t>
      </w:r>
      <w:r>
        <w:rPr>
          <w:rFonts w:hint="eastAsia" w:ascii="仿宋" w:hAnsi="仿宋" w:eastAsia="仿宋"/>
          <w:sz w:val="24"/>
          <w:szCs w:val="24"/>
        </w:rPr>
        <w:t>；以厘清</w:t>
      </w:r>
      <w:r>
        <w:rPr>
          <w:rFonts w:ascii="仿宋" w:hAnsi="仿宋" w:eastAsia="仿宋"/>
          <w:sz w:val="24"/>
          <w:szCs w:val="24"/>
        </w:rPr>
        <w:t>“</w:t>
      </w:r>
      <w:r>
        <w:rPr>
          <w:rFonts w:hint="eastAsia" w:ascii="仿宋" w:hAnsi="仿宋" w:eastAsia="仿宋"/>
          <w:sz w:val="24"/>
          <w:szCs w:val="24"/>
        </w:rPr>
        <w:t>学院</w:t>
      </w:r>
      <w:r>
        <w:rPr>
          <w:rFonts w:ascii="仿宋" w:hAnsi="仿宋" w:eastAsia="仿宋"/>
          <w:sz w:val="24"/>
          <w:szCs w:val="24"/>
        </w:rPr>
        <w:t>”</w:t>
      </w:r>
      <w:r>
        <w:rPr>
          <w:rFonts w:hint="eastAsia" w:ascii="仿宋" w:hAnsi="仿宋" w:eastAsia="仿宋"/>
          <w:sz w:val="24"/>
          <w:szCs w:val="24"/>
        </w:rPr>
        <w:t>与</w:t>
      </w:r>
      <w:r>
        <w:rPr>
          <w:rFonts w:ascii="仿宋" w:hAnsi="仿宋" w:eastAsia="仿宋"/>
          <w:sz w:val="24"/>
          <w:szCs w:val="24"/>
        </w:rPr>
        <w:t>“</w:t>
      </w:r>
      <w:r>
        <w:rPr>
          <w:rFonts w:hint="eastAsia" w:ascii="仿宋" w:hAnsi="仿宋" w:eastAsia="仿宋"/>
          <w:sz w:val="24"/>
          <w:szCs w:val="24"/>
        </w:rPr>
        <w:t>学员</w:t>
      </w:r>
      <w:r>
        <w:rPr>
          <w:rFonts w:ascii="仿宋" w:hAnsi="仿宋" w:eastAsia="仿宋"/>
          <w:sz w:val="24"/>
          <w:szCs w:val="24"/>
        </w:rPr>
        <w:t>”</w:t>
      </w:r>
      <w:r>
        <w:rPr>
          <w:rFonts w:hint="eastAsia" w:ascii="仿宋" w:hAnsi="仿宋" w:eastAsia="仿宋"/>
          <w:sz w:val="24"/>
          <w:szCs w:val="24"/>
        </w:rPr>
        <w:t>关系为发力点，突出学院主体地位，进一步发挥学院作为助梦人的作用。</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132"/>
        </w:tabs>
        <w:spacing w:line="500" w:lineRule="exact"/>
        <w:ind w:firstLine="567"/>
        <w:rPr>
          <w:rFonts w:ascii="仿宋" w:hAnsi="仿宋" w:eastAsia="仿宋"/>
          <w:sz w:val="24"/>
          <w:szCs w:val="24"/>
        </w:rPr>
      </w:pPr>
      <w:r>
        <w:rPr>
          <w:rFonts w:ascii="Times New Roman" w:hAnsi="Times New Roman" w:cs="Times New Roman"/>
          <w:b/>
          <w:sz w:val="24"/>
          <w:szCs w:val="24"/>
        </w:rPr>
        <w:t>2</w:t>
      </w:r>
      <w:r>
        <w:rPr>
          <w:rFonts w:hint="eastAsia" w:ascii="Times New Roman" w:hAnsi="Times New Roman" w:cs="Times New Roman"/>
          <w:b/>
          <w:sz w:val="24"/>
          <w:szCs w:val="24"/>
        </w:rPr>
        <w:t>、</w:t>
      </w:r>
      <w:r>
        <w:rPr>
          <w:rFonts w:hint="eastAsia" w:ascii="仿宋" w:hAnsi="仿宋" w:eastAsia="仿宋"/>
          <w:b/>
          <w:sz w:val="24"/>
          <w:szCs w:val="24"/>
        </w:rPr>
        <w:t>推动德育为先、实践育人的育人理念：</w:t>
      </w:r>
      <w:r>
        <w:rPr>
          <w:rFonts w:hint="eastAsia" w:ascii="仿宋" w:hAnsi="仿宋" w:eastAsia="仿宋"/>
          <w:sz w:val="24"/>
          <w:szCs w:val="24"/>
        </w:rPr>
        <w:t>其一，以十六号《文件》精神指引，强调德育为先的育人目标，一方面巩固思想政治教育的核心地位，发挥学院内党员的先锋带头作用，启动临时党、团支部建设，凸显组织的建构作用，培育具有较高政治素养的精英人才；另一方面积极将理论知识学习与实践活动体验有机结合，开展诸如</w:t>
      </w:r>
      <w:r>
        <w:rPr>
          <w:rFonts w:ascii="仿宋" w:hAnsi="仿宋" w:eastAsia="仿宋"/>
          <w:sz w:val="24"/>
          <w:szCs w:val="24"/>
        </w:rPr>
        <w:t>“</w:t>
      </w:r>
      <w:r>
        <w:rPr>
          <w:rFonts w:hint="eastAsia" w:ascii="仿宋" w:hAnsi="仿宋" w:eastAsia="仿宋"/>
          <w:sz w:val="24"/>
          <w:szCs w:val="24"/>
        </w:rPr>
        <w:t>薪火长征路</w:t>
      </w:r>
      <w:r>
        <w:rPr>
          <w:rFonts w:ascii="仿宋" w:hAnsi="仿宋" w:eastAsia="仿宋"/>
          <w:sz w:val="24"/>
          <w:szCs w:val="24"/>
        </w:rPr>
        <w:t>”“</w:t>
      </w:r>
      <w:r>
        <w:rPr>
          <w:rFonts w:hint="eastAsia" w:ascii="仿宋" w:hAnsi="仿宋" w:eastAsia="仿宋"/>
          <w:sz w:val="24"/>
          <w:szCs w:val="24"/>
        </w:rPr>
        <w:t>党在我心中</w:t>
      </w:r>
      <w:r>
        <w:rPr>
          <w:rFonts w:ascii="仿宋" w:hAnsi="仿宋" w:eastAsia="仿宋"/>
          <w:sz w:val="24"/>
          <w:szCs w:val="24"/>
        </w:rPr>
        <w:t>”</w:t>
      </w:r>
      <w:r>
        <w:rPr>
          <w:rFonts w:hint="eastAsia" w:ascii="仿宋" w:hAnsi="仿宋" w:eastAsia="仿宋"/>
          <w:sz w:val="24"/>
          <w:szCs w:val="24"/>
        </w:rPr>
        <w:t>等特色活动，强调党团员的党性、团性建设。其二，将实践育人理念贯穿人才培养，如结合特奥会、奥运会、世博会、亚信峰会等重大国际活动广泛组织学员开展志愿服务实践，联合上海市内政府、企事业单位，搭建学员社会实践平台，积极推动学员</w:t>
      </w:r>
      <w:r>
        <w:rPr>
          <w:rFonts w:ascii="仿宋" w:hAnsi="仿宋" w:eastAsia="仿宋"/>
          <w:sz w:val="24"/>
          <w:szCs w:val="24"/>
        </w:rPr>
        <w:t>“</w:t>
      </w:r>
      <w:r>
        <w:rPr>
          <w:rFonts w:hint="eastAsia" w:ascii="仿宋" w:hAnsi="仿宋" w:eastAsia="仿宋"/>
          <w:sz w:val="24"/>
          <w:szCs w:val="24"/>
        </w:rPr>
        <w:t>走出去</w:t>
      </w:r>
      <w:r>
        <w:rPr>
          <w:rFonts w:ascii="仿宋" w:hAnsi="仿宋" w:eastAsia="仿宋"/>
          <w:sz w:val="24"/>
          <w:szCs w:val="24"/>
        </w:rPr>
        <w:t>”</w:t>
      </w:r>
      <w:r>
        <w:rPr>
          <w:rFonts w:hint="eastAsia" w:ascii="仿宋" w:hAnsi="仿宋" w:eastAsia="仿宋"/>
          <w:sz w:val="24"/>
          <w:szCs w:val="24"/>
        </w:rPr>
        <w:t>，以引导学员了解社会、国情，增长才干、见识，锻炼毅力，培养品格，在奉献中增强社会责任感。</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132"/>
        </w:tabs>
        <w:spacing w:line="500" w:lineRule="exact"/>
        <w:ind w:firstLine="567"/>
        <w:rPr>
          <w:rFonts w:ascii="仿宋" w:hAnsi="仿宋" w:eastAsia="仿宋"/>
          <w:sz w:val="24"/>
          <w:szCs w:val="24"/>
        </w:rPr>
      </w:pPr>
      <w:r>
        <w:rPr>
          <w:rFonts w:ascii="Times New Roman" w:hAnsi="Times New Roman" w:cs="Times New Roman"/>
          <w:b/>
          <w:sz w:val="24"/>
          <w:szCs w:val="24"/>
        </w:rPr>
        <w:t>3</w:t>
      </w:r>
      <w:r>
        <w:rPr>
          <w:rFonts w:ascii="Times New Roman" w:cs="Times New Roman"/>
          <w:b/>
          <w:sz w:val="24"/>
          <w:szCs w:val="24"/>
        </w:rPr>
        <w:t>、</w:t>
      </w:r>
      <w:r>
        <w:rPr>
          <w:rFonts w:hint="eastAsia" w:ascii="仿宋" w:hAnsi="仿宋" w:eastAsia="仿宋"/>
          <w:b/>
          <w:sz w:val="24"/>
          <w:szCs w:val="24"/>
        </w:rPr>
        <w:t>理清分层分类的人才培养机制：</w:t>
      </w:r>
      <w:r>
        <w:rPr>
          <w:rFonts w:hint="eastAsia" w:ascii="仿宋" w:hAnsi="仿宋" w:eastAsia="仿宋"/>
          <w:sz w:val="24"/>
          <w:szCs w:val="24"/>
        </w:rPr>
        <w:t>随着时代发展，社会对于精英人才的定义与需求日益多元化，应对上述新变化，人才学院在培养体制上不断探索针对不同类型青年群体的分层分类培养模式。在第</w:t>
      </w:r>
      <w:r>
        <w:rPr>
          <w:rFonts w:ascii="Times New Roman" w:hAnsi="Times New Roman" w:cs="Times New Roman"/>
          <w:sz w:val="24"/>
          <w:szCs w:val="24"/>
        </w:rPr>
        <w:t>13</w:t>
      </w:r>
      <w:r>
        <w:rPr>
          <w:rFonts w:hint="eastAsia" w:ascii="仿宋" w:hAnsi="仿宋" w:eastAsia="仿宋"/>
          <w:sz w:val="24"/>
          <w:szCs w:val="24"/>
        </w:rPr>
        <w:t>期，学院提出在学员选拔时按照职业兴趣倾向测试结果进行分类，初步形成分类培养理念。</w:t>
      </w:r>
      <w:r>
        <w:rPr>
          <w:rFonts w:ascii="Times New Roman" w:hAnsi="Times New Roman" w:cs="Times New Roman"/>
          <w:sz w:val="24"/>
          <w:szCs w:val="24"/>
        </w:rPr>
        <w:t>2009</w:t>
      </w:r>
      <w:r>
        <w:rPr>
          <w:rFonts w:hint="eastAsia" w:ascii="仿宋" w:hAnsi="仿宋" w:eastAsia="仿宋"/>
          <w:sz w:val="24"/>
          <w:szCs w:val="24"/>
        </w:rPr>
        <w:t>年，</w:t>
      </w:r>
      <w:r>
        <w:rPr>
          <w:rFonts w:ascii="Times New Roman" w:hAnsi="Times New Roman" w:cs="Times New Roman"/>
          <w:sz w:val="24"/>
          <w:szCs w:val="24"/>
        </w:rPr>
        <w:t>16</w:t>
      </w:r>
      <w:r>
        <w:rPr>
          <w:rFonts w:hint="eastAsia" w:ascii="仿宋" w:hAnsi="仿宋" w:eastAsia="仿宋"/>
          <w:sz w:val="24"/>
          <w:szCs w:val="24"/>
        </w:rPr>
        <w:t>期人才学院组织学员撰写完成了《华东师范大学二十一世纪人才学院发展改革方案》</w:t>
      </w:r>
      <w:r>
        <w:rPr>
          <w:rFonts w:hint="eastAsia" w:eastAsia="华文仿宋"/>
          <w:sz w:val="24"/>
          <w:szCs w:val="24"/>
        </w:rPr>
        <w:t>，</w:t>
      </w:r>
      <w:r>
        <w:rPr>
          <w:rFonts w:hint="eastAsia" w:ascii="仿宋" w:hAnsi="仿宋" w:eastAsia="仿宋"/>
          <w:sz w:val="24"/>
          <w:szCs w:val="24"/>
        </w:rPr>
        <w:t>提出</w:t>
      </w:r>
      <w:r>
        <w:rPr>
          <w:rFonts w:ascii="仿宋" w:hAnsi="仿宋" w:eastAsia="仿宋"/>
          <w:sz w:val="24"/>
          <w:szCs w:val="24"/>
        </w:rPr>
        <w:t>“</w:t>
      </w:r>
      <w:r>
        <w:rPr>
          <w:rFonts w:hint="eastAsia" w:ascii="仿宋" w:hAnsi="仿宋" w:eastAsia="仿宋"/>
          <w:sz w:val="24"/>
          <w:szCs w:val="24"/>
        </w:rPr>
        <w:t>对人才的分类应更细化，突出其个性与特长，制定个性化培养方案</w:t>
      </w:r>
      <w:r>
        <w:rPr>
          <w:rFonts w:ascii="仿宋" w:hAnsi="仿宋" w:eastAsia="仿宋"/>
          <w:sz w:val="24"/>
          <w:szCs w:val="24"/>
        </w:rPr>
        <w:t>”</w:t>
      </w:r>
      <w:r>
        <w:rPr>
          <w:rFonts w:hint="eastAsia" w:ascii="仿宋" w:hAnsi="仿宋" w:eastAsia="仿宋"/>
          <w:sz w:val="24"/>
          <w:szCs w:val="24"/>
        </w:rPr>
        <w:t>等理念，并将所有学员按社会型、企业型、师范型、研究型进行分组，并在既有人才学院课程的基础上有针对性地设置不同方向的课程方案。</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132"/>
        </w:tabs>
        <w:spacing w:line="500" w:lineRule="exact"/>
        <w:ind w:firstLine="567"/>
        <w:rPr>
          <w:rFonts w:ascii="华文仿宋" w:hAnsi="华文仿宋" w:eastAsia="华文仿宋" w:cs="华文仿宋"/>
          <w:sz w:val="24"/>
          <w:szCs w:val="24"/>
        </w:rPr>
      </w:pPr>
      <w:r>
        <w:rPr>
          <w:rFonts w:ascii="Times New Roman" w:hAnsi="Times New Roman" w:cs="Times New Roman"/>
          <w:b/>
          <w:bCs/>
          <w:sz w:val="24"/>
          <w:szCs w:val="24"/>
        </w:rPr>
        <w:t>4</w:t>
      </w:r>
      <w:r>
        <w:rPr>
          <w:rFonts w:ascii="Times New Roman" w:eastAsia="华文仿宋" w:cs="Times New Roman"/>
          <w:sz w:val="24"/>
          <w:szCs w:val="24"/>
        </w:rPr>
        <w:t>、</w:t>
      </w:r>
      <w:r>
        <w:rPr>
          <w:rFonts w:hint="eastAsia" w:ascii="仿宋" w:hAnsi="仿宋" w:eastAsia="仿宋"/>
          <w:b/>
          <w:sz w:val="24"/>
          <w:szCs w:val="24"/>
        </w:rPr>
        <w:t>协调过程管理，强调学员主体性活力</w:t>
      </w:r>
      <w:r>
        <w:rPr>
          <w:rFonts w:ascii="仿宋" w:hAnsi="仿宋" w:eastAsia="仿宋"/>
          <w:b/>
          <w:sz w:val="24"/>
          <w:szCs w:val="24"/>
        </w:rPr>
        <w:t>：</w:t>
      </w:r>
      <w:r>
        <w:rPr>
          <w:rFonts w:hint="eastAsia" w:ascii="仿宋" w:hAnsi="仿宋" w:eastAsia="仿宋"/>
          <w:sz w:val="24"/>
          <w:szCs w:val="24"/>
        </w:rPr>
        <w:t>一方面，不断拓展、丰富学院大课堂、小组活动、社会实践拓展、学院团队建设、高雅艺术欣赏等课程形式，并实行学分制，强调学员活动的过程性管理。另一方面，倡导学员在人才培养中的</w:t>
      </w:r>
      <w:r>
        <w:rPr>
          <w:rFonts w:ascii="仿宋" w:hAnsi="仿宋" w:eastAsia="仿宋"/>
          <w:sz w:val="24"/>
          <w:szCs w:val="24"/>
        </w:rPr>
        <w:t>“</w:t>
      </w:r>
      <w:r>
        <w:rPr>
          <w:rFonts w:hint="eastAsia" w:ascii="仿宋" w:hAnsi="仿宋" w:eastAsia="仿宋"/>
          <w:sz w:val="24"/>
          <w:szCs w:val="24"/>
        </w:rPr>
        <w:t>主体性</w:t>
      </w:r>
      <w:r>
        <w:rPr>
          <w:rFonts w:ascii="仿宋" w:hAnsi="仿宋" w:eastAsia="仿宋"/>
          <w:sz w:val="24"/>
          <w:szCs w:val="24"/>
        </w:rPr>
        <w:t>”</w:t>
      </w:r>
      <w:r>
        <w:rPr>
          <w:rFonts w:hint="eastAsia" w:ascii="仿宋" w:hAnsi="仿宋" w:eastAsia="仿宋"/>
          <w:sz w:val="24"/>
          <w:szCs w:val="24"/>
        </w:rPr>
        <w:t>。学院在第</w:t>
      </w:r>
      <w:r>
        <w:rPr>
          <w:rFonts w:ascii="Times New Roman" w:hAnsi="Times New Roman" w:cs="Times New Roman"/>
          <w:sz w:val="24"/>
          <w:szCs w:val="24"/>
        </w:rPr>
        <w:t>20</w:t>
      </w:r>
      <w:r>
        <w:rPr>
          <w:rFonts w:hint="eastAsia" w:ascii="仿宋" w:hAnsi="仿宋" w:eastAsia="仿宋"/>
          <w:sz w:val="24"/>
          <w:szCs w:val="24"/>
        </w:rPr>
        <w:t>期明确提出</w:t>
      </w:r>
      <w:r>
        <w:rPr>
          <w:rFonts w:ascii="仿宋" w:hAnsi="仿宋" w:eastAsia="仿宋"/>
          <w:sz w:val="24"/>
          <w:szCs w:val="24"/>
        </w:rPr>
        <w:t>“</w:t>
      </w:r>
      <w:r>
        <w:rPr>
          <w:rFonts w:hint="eastAsia" w:ascii="仿宋" w:hAnsi="仿宋" w:eastAsia="仿宋"/>
          <w:sz w:val="24"/>
          <w:szCs w:val="24"/>
        </w:rPr>
        <w:t>体验型、创新型</w:t>
      </w:r>
      <w:r>
        <w:rPr>
          <w:rFonts w:ascii="仿宋" w:hAnsi="仿宋" w:eastAsia="仿宋"/>
          <w:sz w:val="24"/>
          <w:szCs w:val="24"/>
        </w:rPr>
        <w:t>”“</w:t>
      </w:r>
      <w:r>
        <w:rPr>
          <w:rFonts w:hint="eastAsia" w:ascii="仿宋" w:hAnsi="仿宋" w:eastAsia="仿宋"/>
          <w:sz w:val="24"/>
          <w:szCs w:val="24"/>
        </w:rPr>
        <w:t>主体性、先进性</w:t>
      </w:r>
      <w:r>
        <w:rPr>
          <w:rFonts w:ascii="仿宋" w:hAnsi="仿宋" w:eastAsia="仿宋"/>
          <w:sz w:val="24"/>
          <w:szCs w:val="24"/>
        </w:rPr>
        <w:t>”</w:t>
      </w:r>
      <w:r>
        <w:rPr>
          <w:rFonts w:hint="eastAsia" w:ascii="仿宋" w:hAnsi="仿宋" w:eastAsia="仿宋"/>
          <w:sz w:val="24"/>
          <w:szCs w:val="24"/>
        </w:rPr>
        <w:t>的</w:t>
      </w:r>
      <w:r>
        <w:rPr>
          <w:rFonts w:ascii="仿宋" w:hAnsi="仿宋" w:eastAsia="仿宋"/>
          <w:sz w:val="24"/>
          <w:szCs w:val="24"/>
        </w:rPr>
        <w:t>“</w:t>
      </w:r>
      <w:r>
        <w:rPr>
          <w:rFonts w:hint="eastAsia" w:ascii="仿宋" w:hAnsi="仿宋" w:eastAsia="仿宋"/>
          <w:sz w:val="24"/>
          <w:szCs w:val="24"/>
        </w:rPr>
        <w:t>两型两性</w:t>
      </w:r>
      <w:r>
        <w:rPr>
          <w:rFonts w:ascii="仿宋" w:hAnsi="仿宋" w:eastAsia="仿宋"/>
          <w:sz w:val="24"/>
          <w:szCs w:val="24"/>
        </w:rPr>
        <w:t>”</w:t>
      </w:r>
      <w:r>
        <w:rPr>
          <w:rFonts w:hint="eastAsia" w:ascii="仿宋" w:hAnsi="仿宋" w:eastAsia="仿宋"/>
          <w:sz w:val="24"/>
          <w:szCs w:val="24"/>
        </w:rPr>
        <w:t>培养理念，倡导自我组织、自我管理、自我监督、最后把关，在小组活动中坚持</w:t>
      </w:r>
      <w:r>
        <w:rPr>
          <w:rFonts w:ascii="仿宋" w:hAnsi="仿宋" w:eastAsia="仿宋"/>
          <w:sz w:val="24"/>
          <w:szCs w:val="24"/>
        </w:rPr>
        <w:t>“</w:t>
      </w:r>
      <w:r>
        <w:rPr>
          <w:rFonts w:hint="eastAsia" w:ascii="仿宋" w:hAnsi="仿宋" w:eastAsia="仿宋"/>
          <w:sz w:val="24"/>
          <w:szCs w:val="24"/>
        </w:rPr>
        <w:t>自主申报、小组选拔</w:t>
      </w:r>
      <w:r>
        <w:rPr>
          <w:rFonts w:ascii="仿宋" w:hAnsi="仿宋" w:eastAsia="仿宋"/>
          <w:sz w:val="24"/>
          <w:szCs w:val="24"/>
        </w:rPr>
        <w:t>”</w:t>
      </w:r>
      <w:r>
        <w:rPr>
          <w:rFonts w:hint="eastAsia" w:ascii="仿宋" w:hAnsi="仿宋" w:eastAsia="仿宋"/>
          <w:sz w:val="24"/>
          <w:szCs w:val="24"/>
        </w:rPr>
        <w:t>等理念，着重激发学员的主体性活力。</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132"/>
        </w:tabs>
        <w:spacing w:line="500" w:lineRule="exact"/>
        <w:ind w:firstLine="567"/>
        <w:rPr>
          <w:sz w:val="24"/>
          <w:szCs w:val="24"/>
        </w:rPr>
      </w:pPr>
      <w:r>
        <w:rPr>
          <w:rFonts w:ascii="Times New Roman" w:hAnsi="Times New Roman" w:cs="Times New Roman"/>
          <w:b/>
          <w:bCs/>
          <w:sz w:val="24"/>
          <w:szCs w:val="24"/>
        </w:rPr>
        <w:t>5</w:t>
      </w:r>
      <w:r>
        <w:rPr>
          <w:rFonts w:ascii="Times New Roman" w:eastAsia="华文仿宋" w:cs="Times New Roman"/>
          <w:sz w:val="24"/>
          <w:szCs w:val="24"/>
        </w:rPr>
        <w:t>、</w:t>
      </w:r>
      <w:r>
        <w:rPr>
          <w:rFonts w:hint="eastAsia" w:ascii="仿宋" w:hAnsi="仿宋" w:eastAsia="仿宋"/>
          <w:b/>
          <w:sz w:val="24"/>
          <w:szCs w:val="24"/>
        </w:rPr>
        <w:t>引入一流资源，加强对外交流，开拓学员国际化视野</w:t>
      </w:r>
      <w:r>
        <w:rPr>
          <w:rFonts w:ascii="仿宋" w:hAnsi="仿宋" w:eastAsia="仿宋" w:cs="宋体"/>
          <w:b/>
          <w:bCs/>
          <w:sz w:val="24"/>
          <w:szCs w:val="24"/>
        </w:rPr>
        <w:t>：</w:t>
      </w:r>
      <w:r>
        <w:rPr>
          <w:rFonts w:hint="eastAsia" w:ascii="仿宋" w:hAnsi="仿宋" w:eastAsia="仿宋"/>
          <w:sz w:val="24"/>
          <w:szCs w:val="24"/>
        </w:rPr>
        <w:t>进入二十一世纪，随着全球化趋势进一步加强，多元文化交流日趋紧密，多元文化对于青年人的思维和视野的冲击和影响日益增强。在此背景下，二十一世纪人才学院以开放性的视角，在课程引进方面，推动名家</w:t>
      </w:r>
      <w:r>
        <w:rPr>
          <w:rFonts w:ascii="仿宋" w:hAnsi="仿宋" w:eastAsia="仿宋"/>
          <w:sz w:val="24"/>
          <w:szCs w:val="24"/>
        </w:rPr>
        <w:t>“</w:t>
      </w:r>
      <w:r>
        <w:rPr>
          <w:rFonts w:hint="eastAsia" w:ascii="仿宋" w:hAnsi="仿宋" w:eastAsia="仿宋"/>
          <w:sz w:val="24"/>
          <w:szCs w:val="24"/>
        </w:rPr>
        <w:t>引进来</w:t>
      </w:r>
      <w:r>
        <w:rPr>
          <w:rFonts w:ascii="仿宋" w:hAnsi="仿宋" w:eastAsia="仿宋"/>
          <w:sz w:val="24"/>
          <w:szCs w:val="24"/>
        </w:rPr>
        <w:t>”</w:t>
      </w:r>
      <w:r>
        <w:rPr>
          <w:rFonts w:hint="eastAsia" w:ascii="仿宋" w:hAnsi="仿宋" w:eastAsia="仿宋"/>
          <w:sz w:val="24"/>
          <w:szCs w:val="24"/>
        </w:rPr>
        <w:t>。在学生交流方面，帮助学员</w:t>
      </w:r>
      <w:r>
        <w:rPr>
          <w:rFonts w:ascii="仿宋" w:hAnsi="仿宋" w:eastAsia="仿宋"/>
          <w:sz w:val="24"/>
          <w:szCs w:val="24"/>
        </w:rPr>
        <w:t>“</w:t>
      </w:r>
      <w:r>
        <w:rPr>
          <w:rFonts w:hint="eastAsia" w:ascii="仿宋" w:hAnsi="仿宋" w:eastAsia="仿宋"/>
          <w:sz w:val="24"/>
          <w:szCs w:val="24"/>
        </w:rPr>
        <w:t>走出去</w:t>
      </w:r>
      <w:r>
        <w:rPr>
          <w:rFonts w:ascii="仿宋" w:hAnsi="仿宋" w:eastAsia="仿宋"/>
          <w:sz w:val="24"/>
          <w:szCs w:val="24"/>
        </w:rPr>
        <w:t>”</w:t>
      </w:r>
      <w:r>
        <w:rPr>
          <w:rFonts w:hint="eastAsia" w:ascii="仿宋" w:hAnsi="仿宋" w:eastAsia="仿宋"/>
          <w:sz w:val="24"/>
          <w:szCs w:val="24"/>
        </w:rPr>
        <w:t>。如积极邀请具有国际影响力的学者、政要来校举办高水平讲座，努力拓宽人才学院学员的国际化视野。此外，积极推动学员参与跨国、跨地区交往及国际对话，在对外交流实践中领略异地文化。</w:t>
      </w:r>
    </w:p>
    <w:p>
      <w:pPr>
        <w:pStyle w:val="14"/>
        <w:spacing w:line="500" w:lineRule="exact"/>
        <w:jc w:val="left"/>
        <w:rPr>
          <w:sz w:val="24"/>
          <w:szCs w:val="24"/>
        </w:rPr>
      </w:pPr>
      <w:r>
        <w:rPr>
          <w:rFonts w:hint="eastAsia"/>
          <w:sz w:val="24"/>
          <w:szCs w:val="24"/>
        </w:rPr>
        <w:t>（二）“二十一世纪人才学院”人才培养中遇到的瓶颈</w:t>
      </w:r>
      <w:bookmarkEnd w:id="15"/>
    </w:p>
    <w:p>
      <w:pPr>
        <w:spacing w:line="500" w:lineRule="exact"/>
        <w:ind w:firstLine="480"/>
        <w:rPr>
          <w:rFonts w:ascii="仿宋" w:hAnsi="仿宋" w:eastAsia="仿宋"/>
          <w:sz w:val="24"/>
          <w:szCs w:val="24"/>
        </w:rPr>
      </w:pPr>
      <w:r>
        <w:rPr>
          <w:rFonts w:hint="eastAsia" w:ascii="仿宋" w:hAnsi="仿宋" w:eastAsia="仿宋" w:cs="Times New Roman"/>
          <w:sz w:val="24"/>
          <w:szCs w:val="24"/>
        </w:rPr>
        <w:t>人才学院的目标在于培养</w:t>
      </w:r>
      <w:r>
        <w:rPr>
          <w:rFonts w:hint="eastAsia" w:ascii="仿宋" w:hAnsi="仿宋" w:eastAsia="仿宋"/>
          <w:sz w:val="24"/>
          <w:szCs w:val="24"/>
        </w:rPr>
        <w:t>具有丰富科学文化知识、高尚思想道德修养、较高的创新意识、一定独立研究能力的</w:t>
      </w:r>
      <w:r>
        <w:rPr>
          <w:rFonts w:ascii="仿宋" w:hAnsi="仿宋" w:eastAsia="仿宋"/>
          <w:sz w:val="24"/>
          <w:szCs w:val="24"/>
        </w:rPr>
        <w:t>时代型、创新型、复合型的高素质人才</w:t>
      </w:r>
      <w:r>
        <w:rPr>
          <w:rFonts w:hint="eastAsia" w:ascii="仿宋" w:hAnsi="仿宋" w:eastAsia="仿宋"/>
          <w:sz w:val="24"/>
          <w:szCs w:val="24"/>
        </w:rPr>
        <w:t>。然而随着时代发展，新形势、新问题的出现，在实际发展过程中，人才学院对拔尖人才的培养同样遇到瓶颈。调查结果</w:t>
      </w:r>
      <w:r>
        <w:rPr>
          <w:rFonts w:hint="eastAsia" w:ascii="仿宋" w:hAnsi="仿宋" w:eastAsia="仿宋"/>
          <w:b/>
          <w:sz w:val="24"/>
          <w:szCs w:val="24"/>
        </w:rPr>
        <w:t>（图2）</w:t>
      </w:r>
      <w:r>
        <w:rPr>
          <w:rFonts w:hint="eastAsia" w:ascii="仿宋" w:hAnsi="仿宋" w:eastAsia="仿宋"/>
          <w:sz w:val="24"/>
          <w:szCs w:val="24"/>
        </w:rPr>
        <w:t>表明，我校二十一世纪人才学院培养过程中遇到的瓶颈主要为以下四个方面：提供专业指导的老师较少</w:t>
      </w:r>
      <w:r>
        <w:rPr>
          <w:rFonts w:ascii="Times New Roman" w:hAnsi="仿宋" w:eastAsia="仿宋" w:cs="Times New Roman"/>
          <w:sz w:val="24"/>
          <w:szCs w:val="24"/>
        </w:rPr>
        <w:t>（</w:t>
      </w:r>
      <w:r>
        <w:rPr>
          <w:rFonts w:ascii="Times New Roman" w:hAnsi="Times New Roman" w:eastAsia="仿宋" w:cs="Times New Roman"/>
          <w:sz w:val="24"/>
          <w:szCs w:val="24"/>
        </w:rPr>
        <w:t>35.2%</w:t>
      </w:r>
      <w:r>
        <w:rPr>
          <w:rFonts w:ascii="Times New Roman" w:hAnsi="仿宋" w:eastAsia="仿宋" w:cs="Times New Roman"/>
          <w:sz w:val="24"/>
          <w:szCs w:val="24"/>
        </w:rPr>
        <w:t>）</w:t>
      </w:r>
      <w:r>
        <w:rPr>
          <w:rFonts w:hint="eastAsia" w:ascii="仿宋" w:hAnsi="仿宋" w:eastAsia="仿宋"/>
          <w:sz w:val="24"/>
          <w:szCs w:val="24"/>
        </w:rPr>
        <w:t>；课程定位不够明确</w:t>
      </w:r>
      <w:r>
        <w:rPr>
          <w:rFonts w:hint="eastAsia" w:ascii="Times New Roman" w:hAnsi="仿宋" w:eastAsia="仿宋" w:cs="Times New Roman"/>
          <w:sz w:val="24"/>
          <w:szCs w:val="24"/>
        </w:rPr>
        <w:t>（18.6%）</w:t>
      </w:r>
      <w:r>
        <w:rPr>
          <w:rFonts w:hint="eastAsia" w:ascii="仿宋" w:hAnsi="仿宋" w:eastAsia="仿宋"/>
          <w:sz w:val="24"/>
          <w:szCs w:val="24"/>
        </w:rPr>
        <w:t>；对人才输出没有实现较好的引导</w:t>
      </w:r>
      <w:r>
        <w:rPr>
          <w:rFonts w:hint="eastAsia" w:ascii="Times New Roman" w:hAnsi="仿宋" w:eastAsia="仿宋" w:cs="Times New Roman"/>
          <w:sz w:val="24"/>
          <w:szCs w:val="24"/>
        </w:rPr>
        <w:t>（14.5%）</w:t>
      </w:r>
      <w:r>
        <w:rPr>
          <w:rFonts w:hint="eastAsia" w:ascii="仿宋" w:hAnsi="仿宋" w:eastAsia="仿宋"/>
          <w:sz w:val="24"/>
          <w:szCs w:val="24"/>
        </w:rPr>
        <w:t>。具体来看：</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132"/>
        </w:tabs>
        <w:spacing w:line="500" w:lineRule="exact"/>
        <w:ind w:firstLine="561"/>
        <w:rPr>
          <w:rFonts w:ascii="仿宋" w:hAnsi="仿宋" w:eastAsia="仿宋"/>
          <w:sz w:val="24"/>
          <w:szCs w:val="24"/>
        </w:rPr>
      </w:pPr>
      <w:r>
        <w:rPr>
          <w:rFonts w:hint="eastAsia" w:ascii="仿宋" w:hAnsi="仿宋" w:eastAsia="仿宋"/>
          <w:b/>
          <w:sz w:val="24"/>
          <w:szCs w:val="24"/>
        </w:rPr>
        <w:t>1、缺乏专业化、长期性的优秀指导师资——</w:t>
      </w:r>
      <w:r>
        <w:rPr>
          <w:rFonts w:hint="eastAsia" w:ascii="仿宋" w:hAnsi="仿宋" w:eastAsia="仿宋"/>
          <w:sz w:val="24"/>
          <w:szCs w:val="24"/>
        </w:rPr>
        <w:t>目前，</w:t>
      </w:r>
      <w:r>
        <w:rPr>
          <w:rFonts w:ascii="仿宋" w:hAnsi="仿宋" w:eastAsia="仿宋"/>
          <w:sz w:val="24"/>
          <w:szCs w:val="24"/>
        </w:rPr>
        <w:t>“</w:t>
      </w:r>
      <w:r>
        <w:rPr>
          <w:rFonts w:hint="eastAsia" w:ascii="仿宋" w:hAnsi="仿宋" w:eastAsia="仿宋"/>
          <w:sz w:val="24"/>
          <w:szCs w:val="24"/>
        </w:rPr>
        <w:t>二十一世纪人才学院</w:t>
      </w:r>
      <w:r>
        <w:rPr>
          <w:rFonts w:ascii="仿宋" w:hAnsi="仿宋" w:eastAsia="仿宋"/>
          <w:sz w:val="24"/>
          <w:szCs w:val="24"/>
        </w:rPr>
        <w:t>”</w:t>
      </w:r>
      <w:r>
        <w:rPr>
          <w:rFonts w:hint="eastAsia" w:ascii="仿宋" w:hAnsi="仿宋" w:eastAsia="仿宋"/>
          <w:sz w:val="24"/>
          <w:szCs w:val="24"/>
        </w:rPr>
        <w:t>师资多根据具体课程而临时邀请，随机性、流动性大，尚无能与精英化培育配套的优质指导师资参与人才学院的课程设计及学员成长方案的制订，此前邀请过来的授课老师尽管在学术造诣、社会影响力上都堪称一流，但绝大多数老师在一期仅参加一次学院活动，也很少有老师能和学员进行讲座主题之外的深入交流，师生之间的感情纽带很难在短时间建立，也就缺少了以优秀导师自身经历激励优秀学员成长成才的软性教育机会。</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132"/>
        </w:tabs>
        <w:spacing w:line="500" w:lineRule="exact"/>
        <w:ind w:firstLine="561"/>
        <w:rPr>
          <w:rFonts w:ascii="仿宋" w:hAnsi="仿宋" w:eastAsia="仿宋"/>
          <w:sz w:val="24"/>
          <w:szCs w:val="24"/>
        </w:rPr>
      </w:pPr>
      <w:r>
        <w:rPr>
          <w:rFonts w:hint="eastAsia" w:ascii="仿宋" w:hAnsi="仿宋" w:eastAsia="仿宋"/>
          <w:b/>
          <w:sz w:val="24"/>
          <w:szCs w:val="24"/>
        </w:rPr>
        <w:t>2、与时俱进适应大数据时代特质的课程设置不够完善</w:t>
      </w:r>
      <w:r>
        <w:rPr>
          <w:rFonts w:hint="eastAsia" w:ascii="Times New Roman" w:hAnsi="仿宋" w:eastAsia="仿宋" w:cs="Times New Roman"/>
          <w:b/>
          <w:sz w:val="24"/>
          <w:szCs w:val="24"/>
        </w:rPr>
        <w:t>——</w:t>
      </w:r>
      <w:r>
        <w:rPr>
          <w:rFonts w:hint="eastAsia" w:ascii="仿宋" w:hAnsi="仿宋" w:eastAsia="仿宋"/>
          <w:sz w:val="24"/>
          <w:szCs w:val="24"/>
        </w:rPr>
        <w:t>目前的人才学院在课程设置上主要以学院大课堂、小组活动、社会实践拓展、学院团队建设、高雅艺术欣赏等课程形式为主，倡导学员在人才培养中的</w:t>
      </w:r>
      <w:r>
        <w:rPr>
          <w:rFonts w:ascii="仿宋" w:hAnsi="仿宋" w:eastAsia="仿宋"/>
          <w:sz w:val="24"/>
          <w:szCs w:val="24"/>
        </w:rPr>
        <w:t>“</w:t>
      </w:r>
      <w:r>
        <w:rPr>
          <w:rFonts w:hint="eastAsia" w:ascii="仿宋" w:hAnsi="仿宋" w:eastAsia="仿宋"/>
          <w:sz w:val="24"/>
          <w:szCs w:val="24"/>
        </w:rPr>
        <w:t>主体性</w:t>
      </w:r>
      <w:r>
        <w:rPr>
          <w:rFonts w:ascii="仿宋" w:hAnsi="仿宋" w:eastAsia="仿宋"/>
          <w:sz w:val="24"/>
          <w:szCs w:val="24"/>
        </w:rPr>
        <w:t>”</w:t>
      </w:r>
      <w:r>
        <w:rPr>
          <w:rFonts w:hint="eastAsia" w:ascii="仿宋" w:hAnsi="仿宋" w:eastAsia="仿宋"/>
          <w:sz w:val="24"/>
          <w:szCs w:val="24"/>
        </w:rPr>
        <w:t>，即自我组织、自我管理、自我监督、最后把关。然而由于没有专业化的优秀师资为人才学院学员设计完整、系统化的课程，使得为期一年的人才学员的课程随机性较强，课程之间也缺乏体系化的内在关联。同时，随着大数据时代的到来，内容多样且分享性极强的公开课程在网络层出不穷，尤其是</w:t>
      </w:r>
      <w:r>
        <w:rPr>
          <w:rFonts w:ascii="Times New Roman" w:hAnsi="Times New Roman" w:eastAsia="仿宋" w:cs="Times New Roman"/>
          <w:sz w:val="24"/>
          <w:szCs w:val="24"/>
        </w:rPr>
        <w:t>MOOC</w:t>
      </w:r>
      <w:r>
        <w:rPr>
          <w:rFonts w:ascii="仿宋" w:hAnsi="仿宋" w:eastAsia="仿宋"/>
          <w:sz w:val="24"/>
          <w:szCs w:val="24"/>
        </w:rPr>
        <w:t>课程</w:t>
      </w:r>
      <w:r>
        <w:rPr>
          <w:rFonts w:hint="eastAsia" w:ascii="仿宋" w:hAnsi="仿宋" w:eastAsia="仿宋"/>
          <w:sz w:val="24"/>
          <w:szCs w:val="24"/>
        </w:rPr>
        <w:t>的兴起，为青年人才接受多元文化、知识、信息提供了足够丰富的资源，这也使青年人才对于人才学院不断顺应新形势推出内容新颖的课程的需求和期待不断提升。因此，缺乏精细化设计、随意性较强的人才学院课程较难满足不同类型人才的发展需求，也一定程度上影响了学员的参与度和认同感。此外，在大数据时代，每个人都是一个信息主体，每个学生都可以有自己学习平台，在大数据环境下选择自己的学习方式与方法，选择自己所需要的学习资源。因而个性化的培养方案越来越成为大数据时代下人才培养的趋势，个性化学习可以增加学习主动性，通过主动学习激发学生的创造性，加快提升学生的学习能力。这亦为人才学院的课程设置提供了一个优化改进的方向。</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132"/>
        </w:tabs>
        <w:spacing w:line="500" w:lineRule="exact"/>
        <w:ind w:firstLine="561"/>
        <w:rPr>
          <w:rFonts w:ascii="Times New Roman" w:hAnsi="仿宋" w:eastAsia="仿宋" w:cs="Times New Roman"/>
          <w:sz w:val="24"/>
          <w:szCs w:val="24"/>
        </w:rPr>
      </w:pPr>
      <w:r>
        <w:rPr>
          <w:rFonts w:hint="eastAsia" w:ascii="仿宋" w:hAnsi="仿宋" w:eastAsia="仿宋"/>
          <w:b/>
          <w:sz w:val="24"/>
          <w:szCs w:val="24"/>
        </w:rPr>
        <w:t>3、缺乏对人才选拔—培育—输出的过程的有效引导</w:t>
      </w:r>
      <w:r>
        <w:rPr>
          <w:rFonts w:hint="eastAsia" w:ascii="Times New Roman" w:hAnsi="仿宋" w:eastAsia="仿宋" w:cs="Times New Roman"/>
          <w:b/>
          <w:sz w:val="24"/>
          <w:szCs w:val="24"/>
        </w:rPr>
        <w:t>——</w:t>
      </w:r>
      <w:r>
        <w:rPr>
          <w:rFonts w:hint="eastAsia" w:ascii="Times New Roman" w:hAnsi="仿宋" w:eastAsia="仿宋" w:cs="Times New Roman"/>
          <w:sz w:val="24"/>
          <w:szCs w:val="24"/>
        </w:rPr>
        <w:t>这主要表现在在为期一年的人才学院学员培养中，往往在对学员的选拔环节较为看重，学员一般由院系推荐、个人自荐，经过笔试、首轮面试、小组面试等多个环节，最终的佼佼者进入人才学院培养名单。然而在正式培养过程中，由于缺乏系统的课程设置，且学员的成长需求日趋多元，使得人才学院的课程不能较好地吸引不同类型学员的兴趣。虽然在人才学院的学员管理中实行学分制以保证学员的参与率，但仍无法很好地衡量课程本身对不同类型学员自身成长的效能效用情况。在学员的输出过程中，由于学员常常也面临着毕业、就业，一年的课程结束之时也正是大部分学员毕业离校走上就业岗位之时，目前的人才学院管理过程中尚无完整的针对毕业学员的发展跟踪机制或平台，这一方面导致往届人才学院院友信息不全，另一方面使人才学院管理团队无法较好地利用院友资源促进新老院友间的互动学习。在大数据时代，利用海量数据进行形势预判成为可能，无处不在的海量信息正改变着整个世界和我们的生活方式，大数据创造价值是基于这样一个核心逻辑，即当今社会在商业、经济、政府及相关领域中，决策行为越来越取决于数据和分析，而不再是经验和直觉。人才培养亦可以利用此种思维，即大数据技术可以为决策提供一定的“预见参考”，那么，基于大数据思维建立人才数据库，基于人才数据库而维系对人才学院学员的过程管理则成为可能。</w:t>
      </w:r>
    </w:p>
    <w:p>
      <w:pPr>
        <w:spacing w:line="500" w:lineRule="exact"/>
        <w:rPr>
          <w:rFonts w:ascii="宋体" w:hAnsi="宋体" w:cs="仿宋_GB2312"/>
          <w:szCs w:val="21"/>
        </w:rPr>
      </w:pPr>
      <w:r>
        <w:rPr>
          <w:rFonts w:ascii="Calibri" w:hAnsi="Calibri" w:eastAsia="宋体" w:cs="黑体"/>
          <w:kern w:val="2"/>
          <w:sz w:val="21"/>
          <w:szCs w:val="22"/>
          <w:lang w:val="en-US" w:eastAsia="zh-CN" w:bidi="ar-SA"/>
        </w:rPr>
        <w:pict>
          <v:shape id="图表 16" o:spid="_x0000_s1027" type="#_x0000_t75" style="position:absolute;left:0;margin-left:21pt;margin-top:39.75pt;height:226.5pt;width:388.5pt;mso-wrap-distance-bottom:0pt;mso-wrap-distance-top:0pt;rotation:0f;z-index:251658240;" o:ole="f" fillcolor="#FFFFFF" filled="f" o:preferrelative="t" stroked="f" coordorigin="0,0" coordsize="21600,21600">
            <v:fill on="f" color2="#FFFFFF" focus="0%"/>
            <v:imagedata gain="65536f" blacklevel="0f" gamma="0" o:title="" r:id="rId9"/>
            <o:lock v:ext="edit" position="f" selection="f" grouping="f" rotation="f" cropping="f" text="f" aspectratio="t"/>
            <w10:wrap type="topAndBottom"/>
          </v:shape>
        </w:pict>
      </w:r>
      <w:bookmarkStart w:id="16" w:name="_Toc402362583"/>
      <w:r>
        <w:rPr>
          <w:rFonts w:ascii="宋体" w:hAnsi="宋体" w:cs="仿宋_GB2312"/>
          <w:szCs w:val="21"/>
        </w:rPr>
        <w:t xml:space="preserve"> </w:t>
      </w:r>
    </w:p>
    <w:p>
      <w:pPr>
        <w:spacing w:line="500" w:lineRule="exact"/>
        <w:jc w:val="center"/>
        <w:rPr>
          <w:rFonts w:ascii="宋体" w:hAnsi="宋体" w:cs="仿宋_GB2312"/>
          <w:sz w:val="24"/>
          <w:szCs w:val="24"/>
        </w:rPr>
      </w:pPr>
      <w:r>
        <w:rPr>
          <w:rFonts w:hint="eastAsia" w:ascii="宋体" w:hAnsi="宋体" w:cs="楷体_GB2312"/>
          <w:b/>
          <w:bCs/>
          <w:color w:val="000000"/>
          <w:kern w:val="0"/>
          <w:szCs w:val="21"/>
        </w:rPr>
        <w:t>图2：目前人才学院发展的不合理之处</w:t>
      </w:r>
    </w:p>
    <w:p>
      <w:pPr>
        <w:spacing w:line="500" w:lineRule="exact"/>
        <w:rPr>
          <w:rFonts w:ascii="宋体" w:hAnsi="宋体" w:cs="仿宋_GB2312"/>
          <w:sz w:val="24"/>
          <w:szCs w:val="24"/>
        </w:rPr>
      </w:pPr>
    </w:p>
    <w:p>
      <w:pPr>
        <w:tabs>
          <w:tab w:val="left" w:pos="1155"/>
        </w:tabs>
        <w:spacing w:line="500" w:lineRule="exact"/>
        <w:ind w:firstLine="420"/>
        <w:rPr>
          <w:rFonts w:ascii="Times New Roman" w:hAnsi="仿宋" w:eastAsia="仿宋" w:cs="Times New Roman"/>
          <w:sz w:val="24"/>
          <w:szCs w:val="24"/>
        </w:rPr>
      </w:pPr>
      <w:r>
        <w:rPr>
          <w:rFonts w:hint="eastAsia" w:ascii="Times New Roman" w:hAnsi="仿宋" w:eastAsia="仿宋" w:cs="Times New Roman"/>
          <w:sz w:val="24"/>
          <w:szCs w:val="24"/>
        </w:rPr>
        <w:t>基于前文对共青团在拔尖人才培养方面的定位及其在大数据时代背景下面临的新要求和新挑战，并在此基础上厘清“二十一世纪人才学院”培育模式本身在遇到的问题和瓶颈，结合大数据时代及大数据思维所能给我们在人才培养上的启发，我们至少可从</w:t>
      </w:r>
      <w:r>
        <w:rPr>
          <w:rFonts w:hint="eastAsia" w:ascii="Times New Roman" w:hAnsi="仿宋" w:eastAsia="仿宋" w:cs="Times New Roman"/>
          <w:b/>
          <w:sz w:val="24"/>
          <w:szCs w:val="24"/>
        </w:rPr>
        <w:t>培养理念、培养方法、培养载体</w:t>
      </w:r>
      <w:r>
        <w:rPr>
          <w:rFonts w:hint="eastAsia" w:ascii="Times New Roman" w:hAnsi="仿宋" w:eastAsia="仿宋" w:cs="Times New Roman"/>
          <w:sz w:val="24"/>
          <w:szCs w:val="24"/>
        </w:rPr>
        <w:t>等方面进行新的尝试和探索。</w:t>
      </w:r>
    </w:p>
    <w:p>
      <w:pPr>
        <w:tabs>
          <w:tab w:val="left" w:pos="1155"/>
        </w:tabs>
        <w:spacing w:line="500" w:lineRule="exact"/>
        <w:ind w:firstLine="420"/>
        <w:rPr>
          <w:rFonts w:ascii="Times New Roman" w:hAnsi="仿宋" w:eastAsia="仿宋" w:cs="Times New Roman"/>
          <w:sz w:val="28"/>
          <w:szCs w:val="28"/>
        </w:rPr>
      </w:pPr>
    </w:p>
    <w:p>
      <w:pPr>
        <w:tabs>
          <w:tab w:val="left" w:pos="1155"/>
        </w:tabs>
        <w:spacing w:line="500" w:lineRule="exact"/>
        <w:rPr>
          <w:rFonts w:ascii="宋体" w:hAnsi="宋体" w:cs="仿宋_GB2312"/>
          <w:szCs w:val="21"/>
        </w:rPr>
      </w:pPr>
    </w:p>
    <w:p>
      <w:pPr>
        <w:tabs>
          <w:tab w:val="left" w:pos="1155"/>
        </w:tabs>
        <w:spacing w:line="500" w:lineRule="exact"/>
        <w:rPr>
          <w:rFonts w:ascii="宋体" w:hAnsi="宋体" w:cs="仿宋_GB2312"/>
          <w:szCs w:val="21"/>
        </w:rPr>
      </w:pPr>
    </w:p>
    <w:p>
      <w:pPr>
        <w:tabs>
          <w:tab w:val="left" w:pos="1155"/>
        </w:tabs>
        <w:spacing w:line="500" w:lineRule="exact"/>
        <w:rPr>
          <w:rFonts w:ascii="宋体" w:hAnsi="宋体" w:cs="仿宋_GB2312"/>
          <w:szCs w:val="21"/>
        </w:rPr>
      </w:pPr>
    </w:p>
    <w:p>
      <w:pPr>
        <w:pStyle w:val="14"/>
        <w:spacing w:line="500" w:lineRule="exact"/>
        <w:rPr>
          <w:rFonts w:ascii="黑体" w:hAnsi="黑体" w:eastAsia="黑体" w:cs="仿宋_GB2312"/>
          <w:sz w:val="28"/>
          <w:szCs w:val="28"/>
        </w:rPr>
      </w:pPr>
      <w:r>
        <w:rPr>
          <w:rFonts w:hint="eastAsia" w:ascii="黑体" w:hAnsi="黑体" w:eastAsia="黑体"/>
          <w:sz w:val="28"/>
          <w:szCs w:val="28"/>
        </w:rPr>
        <w:t>四、大数据时代下高校共青团拔尖人才培养的模式创新</w:t>
      </w:r>
      <w:bookmarkEnd w:id="16"/>
      <w:r>
        <w:rPr>
          <w:rFonts w:hint="eastAsia" w:ascii="黑体" w:hAnsi="黑体" w:eastAsia="黑体"/>
          <w:sz w:val="28"/>
          <w:szCs w:val="28"/>
        </w:rPr>
        <w:t>——基于“二十一世纪人才学院”的实证分析</w:t>
      </w:r>
      <w:bookmarkStart w:id="17" w:name="_Toc402362584"/>
    </w:p>
    <w:p>
      <w:pPr>
        <w:spacing w:line="500" w:lineRule="exact"/>
        <w:ind w:firstLine="472" w:firstLineChars="196"/>
        <w:rPr>
          <w:rFonts w:ascii="仿宋" w:hAnsi="仿宋" w:eastAsia="仿宋"/>
          <w:b/>
          <w:sz w:val="24"/>
          <w:szCs w:val="24"/>
        </w:rPr>
      </w:pPr>
    </w:p>
    <w:p>
      <w:pPr>
        <w:spacing w:line="500" w:lineRule="exact"/>
        <w:ind w:firstLine="472" w:firstLineChars="196"/>
        <w:rPr>
          <w:rFonts w:ascii="仿宋" w:hAnsi="仿宋" w:eastAsia="仿宋" w:cs="Times New Roman"/>
          <w:color w:val="000000"/>
          <w:kern w:val="0"/>
          <w:sz w:val="24"/>
          <w:szCs w:val="24"/>
          <w:u w:val="none" w:color="000000"/>
        </w:rPr>
      </w:pPr>
      <w:r>
        <w:rPr>
          <w:rFonts w:hint="eastAsia" w:ascii="宋体" w:hAnsi="宋体"/>
          <w:b/>
          <w:sz w:val="24"/>
          <w:szCs w:val="24"/>
        </w:rPr>
        <w:t>（一）理念创新</w:t>
      </w:r>
      <w:bookmarkEnd w:id="17"/>
      <w:r>
        <w:rPr>
          <w:rFonts w:hint="eastAsia" w:ascii="宋体" w:hAnsi="宋体"/>
          <w:b/>
          <w:sz w:val="24"/>
          <w:szCs w:val="24"/>
        </w:rPr>
        <w:t>——建立多元文化的未来精英俱乐部，通过线上线下的互动，培养人才共同体间的“群落文化”，提升学员归属感：</w:t>
      </w:r>
      <w:r>
        <w:rPr>
          <w:rFonts w:hint="eastAsia" w:ascii="仿宋" w:hAnsi="仿宋" w:eastAsia="仿宋" w:cs="Times New Roman"/>
          <w:color w:val="000000"/>
          <w:kern w:val="0"/>
          <w:sz w:val="24"/>
          <w:szCs w:val="24"/>
          <w:u w:val="none" w:color="000000"/>
        </w:rPr>
        <w:t>当大数据融入社会生活，人们的视野变得更加广阔和多元，从人才培养的角度来看，既有的人才评价体制正受到越来越多的挑战，过去以班级为单位的集体式培养已很难满足日益注重主体性和个性化的人才发展需求</w:t>
      </w:r>
      <w:r>
        <w:rPr>
          <w:rFonts w:ascii="仿宋" w:hAnsi="仿宋" w:eastAsia="仿宋" w:cs="Times New Roman"/>
          <w:color w:val="000000"/>
          <w:kern w:val="0"/>
          <w:sz w:val="24"/>
          <w:szCs w:val="24"/>
          <w:u w:val="none" w:color="000000"/>
        </w:rPr>
        <w:t xml:space="preserve"> </w:t>
      </w:r>
      <w:r>
        <w:rPr>
          <w:rFonts w:hint="eastAsia" w:ascii="仿宋" w:hAnsi="仿宋" w:eastAsia="仿宋" w:cs="Times New Roman"/>
          <w:color w:val="000000"/>
          <w:kern w:val="0"/>
          <w:sz w:val="24"/>
          <w:szCs w:val="24"/>
          <w:u w:val="none" w:color="000000"/>
        </w:rPr>
        <w:t>。因而在大数据时代，在“二十一世纪人才学院”既有模式的基础上，通过培养不同类型人才共同体间的“群落文化”，建立开放式的、共享性的多元文化精英俱乐部。以线下的精品课程、活动为基础，充分借助越来越便捷的网络互动平台，</w:t>
      </w:r>
      <w:r>
        <w:rPr>
          <w:rFonts w:hint="eastAsia" w:ascii="仿宋" w:hAnsi="仿宋" w:eastAsia="仿宋"/>
          <w:sz w:val="24"/>
          <w:szCs w:val="24"/>
          <w:lang w:val="zh-TW" w:eastAsia="zh-TW"/>
        </w:rPr>
        <w:t>积极拓展</w:t>
      </w:r>
      <w:r>
        <w:rPr>
          <w:rFonts w:ascii="仿宋" w:hAnsi="仿宋" w:eastAsia="仿宋"/>
          <w:sz w:val="24"/>
          <w:szCs w:val="24"/>
        </w:rPr>
        <w:t>“</w:t>
      </w:r>
      <w:r>
        <w:rPr>
          <w:rFonts w:hint="eastAsia" w:ascii="仿宋" w:hAnsi="仿宋" w:eastAsia="仿宋"/>
          <w:sz w:val="24"/>
          <w:szCs w:val="24"/>
          <w:lang w:val="zh-TW" w:eastAsia="zh-TW"/>
        </w:rPr>
        <w:t>二十一世纪人才学院</w:t>
      </w:r>
      <w:r>
        <w:rPr>
          <w:rFonts w:ascii="仿宋" w:hAnsi="仿宋" w:eastAsia="仿宋"/>
          <w:sz w:val="24"/>
          <w:szCs w:val="24"/>
        </w:rPr>
        <w:t>”</w:t>
      </w:r>
      <w:r>
        <w:rPr>
          <w:rFonts w:hint="eastAsia" w:ascii="仿宋" w:hAnsi="仿宋" w:eastAsia="仿宋"/>
          <w:sz w:val="24"/>
          <w:szCs w:val="24"/>
          <w:lang w:val="zh-TW" w:eastAsia="zh-TW"/>
        </w:rPr>
        <w:t>的线上平台，打造互联网时代</w:t>
      </w:r>
      <w:r>
        <w:rPr>
          <w:rFonts w:ascii="仿宋" w:hAnsi="仿宋" w:eastAsia="仿宋"/>
          <w:sz w:val="24"/>
          <w:szCs w:val="24"/>
        </w:rPr>
        <w:t>“</w:t>
      </w:r>
      <w:r>
        <w:rPr>
          <w:rFonts w:hint="eastAsia" w:ascii="仿宋" w:hAnsi="仿宋" w:eastAsia="仿宋"/>
          <w:sz w:val="24"/>
          <w:szCs w:val="24"/>
          <w:lang w:val="zh-TW" w:eastAsia="zh-TW"/>
        </w:rPr>
        <w:t>二十一世纪人才学院</w:t>
      </w:r>
      <w:r>
        <w:rPr>
          <w:rFonts w:ascii="仿宋" w:hAnsi="仿宋" w:eastAsia="仿宋"/>
          <w:sz w:val="24"/>
          <w:szCs w:val="24"/>
        </w:rPr>
        <w:t>”</w:t>
      </w:r>
      <w:r>
        <w:rPr>
          <w:rFonts w:hint="eastAsia" w:ascii="仿宋" w:hAnsi="仿宋" w:eastAsia="仿宋"/>
          <w:sz w:val="24"/>
          <w:szCs w:val="24"/>
          <w:lang w:val="zh-TW" w:eastAsia="zh-TW"/>
        </w:rPr>
        <w:t>学员自己的线上空间，</w:t>
      </w:r>
      <w:r>
        <w:rPr>
          <w:rFonts w:hint="eastAsia" w:ascii="仿宋" w:hAnsi="仿宋" w:eastAsia="仿宋" w:cs="Times New Roman"/>
          <w:color w:val="000000"/>
          <w:kern w:val="0"/>
          <w:sz w:val="24"/>
          <w:szCs w:val="24"/>
          <w:u w:val="none" w:color="000000"/>
        </w:rPr>
        <w:t>实现人才学院学员间的跨时间、跨空间的互动、学习、交流，一方面提升学员自主性，另一方面使不同类型的学员在充分的互动、交流中拓宽视野、获得提升，从而形成“人院人”的身份认同，提升人才学院学员的归属感和凝聚力。</w:t>
      </w:r>
      <w:bookmarkStart w:id="18" w:name="_Toc402362585"/>
    </w:p>
    <w:p>
      <w:pPr>
        <w:spacing w:line="500" w:lineRule="exact"/>
        <w:ind w:firstLine="472" w:firstLineChars="196"/>
        <w:rPr>
          <w:rFonts w:ascii="仿宋" w:hAnsi="仿宋" w:eastAsia="仿宋" w:cs="Times New Roman"/>
          <w:color w:val="000000"/>
          <w:kern w:val="0"/>
          <w:sz w:val="24"/>
          <w:szCs w:val="24"/>
          <w:u w:val="none" w:color="000000"/>
        </w:rPr>
      </w:pPr>
      <w:r>
        <w:rPr>
          <w:rFonts w:hint="eastAsia" w:ascii="宋体" w:hAnsi="宋体"/>
          <w:b/>
          <w:sz w:val="24"/>
          <w:szCs w:val="24"/>
        </w:rPr>
        <w:t>（二）方法创新：制定个性化培养方案，实现分门别类的引导教育策略</w:t>
      </w:r>
      <w:bookmarkEnd w:id="18"/>
      <w:r>
        <w:rPr>
          <w:rFonts w:hint="eastAsia" w:ascii="宋体" w:hAnsi="宋体"/>
          <w:b/>
          <w:sz w:val="24"/>
          <w:szCs w:val="24"/>
        </w:rPr>
        <w:t>：</w:t>
      </w:r>
      <w:r>
        <w:rPr>
          <w:rFonts w:ascii="仿宋" w:hAnsi="仿宋" w:eastAsia="仿宋"/>
          <w:sz w:val="24"/>
          <w:szCs w:val="24"/>
        </w:rPr>
        <w:t>“</w:t>
      </w:r>
      <w:r>
        <w:rPr>
          <w:rFonts w:hint="eastAsia" w:ascii="仿宋" w:hAnsi="仿宋" w:eastAsia="仿宋"/>
          <w:sz w:val="24"/>
          <w:szCs w:val="24"/>
        </w:rPr>
        <w:t>个性化就是互联网的未来</w:t>
      </w:r>
      <w:r>
        <w:rPr>
          <w:rFonts w:ascii="仿宋" w:hAnsi="仿宋" w:eastAsia="仿宋"/>
          <w:sz w:val="24"/>
          <w:szCs w:val="24"/>
        </w:rPr>
        <w:t>”</w:t>
      </w:r>
      <w:r>
        <w:rPr>
          <w:rFonts w:hint="eastAsia" w:ascii="仿宋" w:hAnsi="仿宋" w:eastAsia="仿宋"/>
          <w:sz w:val="24"/>
          <w:szCs w:val="24"/>
        </w:rPr>
        <w:t>，教育学领域，因材施教是教育的基本原则，分类培养是人才培养的必然要求。大数据时代，越来越丰富的网络平台使学员多元化的课程资源需求得到较好满足，而随着大数据思维对人们生活、工作方式的影响逐步深入，针对学员的定制化学习服务将成为可能。正如中国人事科学研究院原院长吴江同志所言，大数据时代的人才可以出现在世界任何一个角落，谁能尽早把大数据体系建立起来，谁就能在新一轮人才战争中占据主动地位。这显然为人才学院未来的发展方向提供了某种可能，即如何紧扣大数据思维，整合已有资源，建立大数据思维指导下的人才数据平台，并在人才数据的指导下规范人才学院学员的选拔、分类、培养、输出，从而真正满足不同类型学员多元化个性化的成长需求。</w:t>
      </w:r>
      <w:r>
        <w:rPr>
          <w:rFonts w:hint="eastAsia" w:ascii="仿宋" w:hAnsi="仿宋" w:eastAsia="仿宋" w:cs="Times New Roman"/>
          <w:sz w:val="24"/>
          <w:szCs w:val="24"/>
        </w:rPr>
        <w:t>此外，还可吸收</w:t>
      </w:r>
      <w:r>
        <w:rPr>
          <w:rFonts w:ascii="Times New Roman" w:hAnsi="Times New Roman" w:eastAsia="仿宋" w:cs="Times New Roman"/>
          <w:sz w:val="24"/>
          <w:szCs w:val="24"/>
        </w:rPr>
        <w:t>Mooc</w:t>
      </w:r>
      <w:r>
        <w:rPr>
          <w:rFonts w:hint="eastAsia" w:ascii="Times New Roman" w:hAnsi="Times New Roman" w:eastAsia="仿宋" w:cs="Times New Roman"/>
          <w:sz w:val="24"/>
          <w:szCs w:val="24"/>
        </w:rPr>
        <w:t>的先进理念</w:t>
      </w:r>
      <w:r>
        <w:rPr>
          <w:rFonts w:hint="eastAsia" w:ascii="仿宋" w:hAnsi="仿宋" w:eastAsia="仿宋" w:cs="Times New Roman"/>
          <w:sz w:val="24"/>
          <w:szCs w:val="24"/>
        </w:rPr>
        <w:t>，推广人才学院</w:t>
      </w:r>
      <w:r>
        <w:rPr>
          <w:rFonts w:ascii="仿宋" w:hAnsi="仿宋" w:eastAsia="仿宋" w:cs="Times New Roman"/>
          <w:sz w:val="24"/>
          <w:szCs w:val="24"/>
        </w:rPr>
        <w:t>网络开放课程</w:t>
      </w:r>
      <w:r>
        <w:rPr>
          <w:rFonts w:hint="eastAsia" w:ascii="仿宋" w:hAnsi="仿宋" w:eastAsia="仿宋" w:cs="Times New Roman"/>
          <w:sz w:val="24"/>
          <w:szCs w:val="24"/>
        </w:rPr>
        <w:t>，鼓励学员归纳总结本专业所学知识，并将其分享给群落中的其他同学，一方面可以复习巩固自身所学，另一方面，可以促进不同专业的学员进行学术分享交流，并可以将多元化的课程知识汇总在一个统一的数据库中，形成强大的知识源</w:t>
      </w:r>
      <w:r>
        <w:rPr>
          <w:rFonts w:ascii="仿宋" w:hAnsi="仿宋" w:eastAsia="仿宋" w:cs="Times New Roman"/>
          <w:sz w:val="24"/>
          <w:szCs w:val="24"/>
        </w:rPr>
        <w:t>。</w:t>
      </w:r>
      <w:bookmarkStart w:id="19" w:name="_Toc402362586"/>
    </w:p>
    <w:p>
      <w:pPr>
        <w:spacing w:line="500" w:lineRule="exact"/>
        <w:ind w:firstLine="482" w:firstLineChars="200"/>
        <w:rPr>
          <w:rFonts w:ascii="仿宋" w:hAnsi="仿宋" w:eastAsia="仿宋" w:cs="仿宋_GB2312"/>
          <w:sz w:val="24"/>
          <w:szCs w:val="24"/>
        </w:rPr>
      </w:pPr>
      <w:r>
        <w:rPr>
          <w:rFonts w:hint="eastAsia" w:ascii="宋体" w:hAnsi="宋体"/>
          <w:b/>
          <w:sz w:val="24"/>
          <w:szCs w:val="24"/>
        </w:rPr>
        <w:t>（三）载体创新：建立个性化的拔尖人才数据库</w:t>
      </w:r>
      <w:bookmarkStart w:id="20" w:name="_Toc402362591"/>
      <w:bookmarkEnd w:id="19"/>
      <w:r>
        <w:rPr>
          <w:rFonts w:hint="eastAsia" w:ascii="宋体" w:hAnsi="宋体"/>
          <w:b/>
          <w:sz w:val="24"/>
          <w:szCs w:val="24"/>
        </w:rPr>
        <w:t>，在选拔-培养-输出的过程中，优化线上平台，逐步优化个性化人才培养</w:t>
      </w:r>
      <w:bookmarkEnd w:id="20"/>
      <w:r>
        <w:rPr>
          <w:rFonts w:hint="eastAsia" w:ascii="宋体" w:hAnsi="宋体"/>
          <w:b/>
          <w:sz w:val="24"/>
          <w:szCs w:val="24"/>
        </w:rPr>
        <w:t>方案：</w:t>
      </w:r>
      <w:r>
        <w:rPr>
          <w:rFonts w:hint="eastAsia" w:ascii="仿宋" w:hAnsi="仿宋" w:eastAsia="仿宋" w:cs="Times New Roman"/>
          <w:sz w:val="24"/>
          <w:szCs w:val="24"/>
        </w:rPr>
        <w:t>大数据背景下，拔尖人才的培养载体也有了新的变化。通过将具有时代性、创新性、复合性人才的信息进行数据采集、汇总，利用大数据的优势</w:t>
      </w:r>
      <w:r>
        <w:rPr>
          <w:rFonts w:hint="eastAsia" w:ascii="仿宋" w:hAnsi="仿宋" w:eastAsia="仿宋" w:cs="仿宋_GB2312"/>
          <w:sz w:val="24"/>
          <w:szCs w:val="24"/>
        </w:rPr>
        <w:t>建立个性化的拔尖人才数据库，一方面可借助该平台采集的信息制定个性化的培养方案，为个性化的人才培养提供技术支撑。另一方面，</w:t>
      </w:r>
      <w:r>
        <w:rPr>
          <w:rFonts w:hint="eastAsia" w:ascii="仿宋" w:hAnsi="仿宋" w:eastAsia="仿宋"/>
          <w:sz w:val="24"/>
          <w:szCs w:val="24"/>
        </w:rPr>
        <w:t>虽然</w:t>
      </w:r>
      <w:r>
        <w:rPr>
          <w:rFonts w:ascii="仿宋" w:hAnsi="仿宋" w:eastAsia="仿宋"/>
          <w:sz w:val="24"/>
          <w:szCs w:val="24"/>
        </w:rPr>
        <w:t>“</w:t>
      </w:r>
      <w:r>
        <w:rPr>
          <w:rFonts w:hint="eastAsia" w:ascii="仿宋" w:hAnsi="仿宋" w:eastAsia="仿宋"/>
          <w:sz w:val="24"/>
          <w:szCs w:val="24"/>
        </w:rPr>
        <w:t>二十一世纪人才学院</w:t>
      </w:r>
      <w:r>
        <w:rPr>
          <w:rFonts w:ascii="仿宋" w:hAnsi="仿宋" w:eastAsia="仿宋"/>
          <w:sz w:val="24"/>
          <w:szCs w:val="24"/>
        </w:rPr>
        <w:t>”</w:t>
      </w:r>
      <w:r>
        <w:rPr>
          <w:rFonts w:hint="eastAsia" w:ascii="仿宋" w:hAnsi="仿宋" w:eastAsia="仿宋"/>
          <w:sz w:val="24"/>
          <w:szCs w:val="24"/>
        </w:rPr>
        <w:t>已走过二十年风雨，期间涌现了诸多如今在各自领域取得瞩目成绩的优秀院友，但目前的人才学院在管理上尚没有一个完善的人才数据库平台，许多往届院友的信息还只能主要依靠传统形式的口口相传及过往存档中的纸质文本，这为及时运用往届优秀院友资源指导人才学院培养工作带来了诸多不便。此外，由于没有完善的人才数据库资源实现当期学员学期内的过程管理，使得目前的人才学院对学员情况的掌握主要依托线下了解，这样的了解也仅集中于培养期间，特别是培养前期和中期，而在培养后期，尤其在学员毕业前夕，学院管理团队便较难对学员情况进行有效掌握，而学员毕业后，学院也无法对学员建立有效的人才发展档案，对毕业学员的关注仅感情联络或较为零散的水平上，这也导致部分毕业院友毕业后因时间的推移对学院归属感逐渐减弱。因而，如何与时俱进，以大数据思维建立完善的人才培养数据库，实现对学员的过程培育和长效跟踪机制，是当下人才学院发展推进过程中不得不重视的问题，亦是未来人才培养过程中必然要考虑的方向</w:t>
      </w:r>
      <w:r>
        <w:rPr>
          <w:rFonts w:hint="eastAsia" w:ascii="仿宋" w:hAnsi="仿宋" w:eastAsia="仿宋" w:cs="仿宋_GB2312"/>
          <w:sz w:val="24"/>
          <w:szCs w:val="24"/>
        </w:rPr>
        <w:t>。</w:t>
      </w:r>
      <w:bookmarkStart w:id="21" w:name="_Toc4064"/>
      <w:bookmarkStart w:id="22" w:name="_Toc32576"/>
    </w:p>
    <w:p>
      <w:pPr>
        <w:pStyle w:val="14"/>
        <w:spacing w:line="500" w:lineRule="exact"/>
        <w:rPr>
          <w:rFonts w:ascii="黑体" w:hAnsi="黑体" w:eastAsia="黑体"/>
          <w:sz w:val="28"/>
          <w:szCs w:val="28"/>
        </w:rPr>
      </w:pPr>
      <w:bookmarkStart w:id="23" w:name="_Toc402362592"/>
      <w:r>
        <w:rPr>
          <w:rFonts w:hint="eastAsia" w:ascii="黑体" w:hAnsi="黑体" w:eastAsia="黑体"/>
          <w:sz w:val="28"/>
          <w:szCs w:val="28"/>
        </w:rPr>
        <w:t>五、总结与讨论</w:t>
      </w:r>
      <w:bookmarkEnd w:id="21"/>
      <w:bookmarkEnd w:id="22"/>
      <w:bookmarkEnd w:id="23"/>
    </w:p>
    <w:p>
      <w:pPr>
        <w:spacing w:line="500" w:lineRule="exact"/>
        <w:ind w:firstLine="480" w:firstLineChars="200"/>
        <w:rPr>
          <w:rFonts w:ascii="仿宋" w:hAnsi="仿宋" w:eastAsia="仿宋" w:cs="楷体_GB2312"/>
          <w:sz w:val="24"/>
          <w:szCs w:val="24"/>
        </w:rPr>
      </w:pPr>
    </w:p>
    <w:p>
      <w:pPr>
        <w:spacing w:line="500" w:lineRule="exact"/>
        <w:ind w:firstLine="480" w:firstLineChars="200"/>
        <w:rPr>
          <w:rFonts w:ascii="仿宋" w:hAnsi="仿宋" w:eastAsia="仿宋"/>
          <w:sz w:val="24"/>
          <w:szCs w:val="24"/>
        </w:rPr>
      </w:pPr>
      <w:r>
        <w:rPr>
          <w:rFonts w:hint="eastAsia" w:ascii="仿宋" w:hAnsi="仿宋" w:eastAsia="仿宋" w:cs="楷体_GB2312"/>
          <w:sz w:val="24"/>
          <w:szCs w:val="24"/>
        </w:rPr>
        <w:t>随着全球化步伐的加快，国家综合国力的竞争主要体现在人才的竞争上</w:t>
      </w:r>
      <w:r>
        <w:rPr>
          <w:rFonts w:ascii="仿宋" w:hAnsi="仿宋" w:eastAsia="仿宋" w:cs="楷体_GB2312"/>
          <w:sz w:val="24"/>
          <w:szCs w:val="24"/>
        </w:rPr>
        <w:t xml:space="preserve">, </w:t>
      </w:r>
      <w:r>
        <w:rPr>
          <w:rFonts w:hint="eastAsia" w:ascii="仿宋" w:hAnsi="仿宋" w:eastAsia="仿宋" w:cs="楷体_GB2312"/>
          <w:sz w:val="24"/>
          <w:szCs w:val="24"/>
        </w:rPr>
        <w:t>因而培养拔尖人才也成为提高我国核心竞争力的重要抓手。</w:t>
      </w:r>
      <w:r>
        <w:rPr>
          <w:rFonts w:hint="eastAsia" w:ascii="仿宋" w:hAnsi="仿宋" w:eastAsia="仿宋" w:cs="仿宋_GB2312"/>
          <w:sz w:val="24"/>
          <w:szCs w:val="24"/>
        </w:rPr>
        <w:t>当下，我们正处在由“小数据”时代向“大数据”时代转变的过程中，高校拔尖人才的共青团培养模式面临着许多机遇</w:t>
      </w:r>
      <w:r>
        <w:rPr>
          <w:rFonts w:hint="eastAsia" w:ascii="仿宋" w:hAnsi="仿宋" w:eastAsia="仿宋"/>
          <w:sz w:val="24"/>
          <w:szCs w:val="24"/>
        </w:rPr>
        <w:t>的同时也存在诸多挑战。</w:t>
      </w:r>
      <w:r>
        <w:rPr>
          <w:rFonts w:ascii="仿宋" w:hAnsi="仿宋" w:eastAsia="仿宋"/>
          <w:sz w:val="24"/>
          <w:szCs w:val="24"/>
        </w:rPr>
        <w:t>随着大数据时代的到来，当数据越来越成为人们获得新知识、创造新价值的源泉，当青年与世界的交流因互联网的高度发达而变得前所未有的便捷和深入，当青年与多元观念的碰撞也前所未有的激烈的背景下，随之而来的是既有的人才选拔机制、人才培养模式、人才评价要素越来越面对诸多挑战，只有正视大数据时代背景下既有共青团人才培养工作模式中遇到的瓶颈和挑战，</w:t>
      </w:r>
      <w:r>
        <w:rPr>
          <w:rFonts w:hint="eastAsia" w:ascii="仿宋" w:hAnsi="仿宋" w:eastAsia="仿宋" w:cs="仿宋_GB2312"/>
          <w:sz w:val="24"/>
          <w:szCs w:val="24"/>
        </w:rPr>
        <w:t>及时转变观念与思维，努力推进理念创新、方法创新及载体创新</w:t>
      </w:r>
      <w:r>
        <w:rPr>
          <w:rFonts w:hint="eastAsia" w:ascii="仿宋" w:hAnsi="仿宋" w:eastAsia="仿宋"/>
          <w:sz w:val="24"/>
          <w:szCs w:val="24"/>
        </w:rPr>
        <w:t>，</w:t>
      </w:r>
      <w:r>
        <w:rPr>
          <w:rFonts w:ascii="仿宋" w:hAnsi="仿宋" w:eastAsia="仿宋"/>
          <w:sz w:val="24"/>
          <w:szCs w:val="24"/>
        </w:rPr>
        <w:t>方能秉承“二十一世纪人才学院”建院之时的首创精神，顺势而为，与时俱进，持续保持其在拔尖人才培养方面的特色与优势。</w:t>
      </w:r>
    </w:p>
    <w:p>
      <w:pPr>
        <w:spacing w:line="500" w:lineRule="exact"/>
        <w:ind w:firstLine="480" w:firstLineChars="200"/>
        <w:rPr>
          <w:rFonts w:ascii="仿宋" w:hAnsi="仿宋" w:eastAsia="仿宋"/>
          <w:sz w:val="24"/>
          <w:szCs w:val="24"/>
        </w:rPr>
      </w:pPr>
    </w:p>
    <w:p>
      <w:pPr>
        <w:spacing w:line="500" w:lineRule="exact"/>
        <w:jc w:val="right"/>
        <w:rPr>
          <w:rFonts w:ascii="仿宋" w:hAnsi="仿宋" w:eastAsia="仿宋"/>
          <w:szCs w:val="21"/>
        </w:rPr>
      </w:pPr>
      <w:r>
        <w:rPr>
          <w:rFonts w:hint="eastAsia" w:ascii="仿宋" w:hAnsi="仿宋" w:eastAsia="仿宋"/>
          <w:szCs w:val="21"/>
        </w:rPr>
        <w:t>课题组成员：俞世恩、朱文佳、谢雨杉、</w:t>
      </w:r>
    </w:p>
    <w:p>
      <w:pPr>
        <w:spacing w:line="500" w:lineRule="exact"/>
        <w:jc w:val="right"/>
        <w:rPr>
          <w:rFonts w:ascii="仿宋" w:hAnsi="仿宋" w:eastAsia="仿宋"/>
          <w:szCs w:val="21"/>
        </w:rPr>
      </w:pPr>
      <w:r>
        <w:rPr>
          <w:rFonts w:hint="eastAsia" w:ascii="仿宋" w:hAnsi="仿宋" w:eastAsia="仿宋"/>
          <w:szCs w:val="21"/>
        </w:rPr>
        <w:t>王晶晶、罗艺、江赉、许福岩、张静、</w:t>
      </w:r>
    </w:p>
    <w:p>
      <w:pPr>
        <w:spacing w:line="500" w:lineRule="exact"/>
        <w:jc w:val="right"/>
        <w:rPr>
          <w:rFonts w:ascii="仿宋" w:hAnsi="仿宋" w:eastAsia="仿宋"/>
          <w:szCs w:val="21"/>
        </w:rPr>
      </w:pPr>
      <w:r>
        <w:rPr>
          <w:rFonts w:hint="eastAsia" w:ascii="仿宋" w:hAnsi="仿宋" w:eastAsia="仿宋"/>
          <w:szCs w:val="21"/>
        </w:rPr>
        <w:t>成一川、唐靓瑜、万璐、吴潇</w:t>
      </w:r>
    </w:p>
    <w:p>
      <w:pPr>
        <w:spacing w:line="500" w:lineRule="exact"/>
        <w:jc w:val="right"/>
        <w:rPr>
          <w:rFonts w:ascii="黑体" w:hAnsi="黑体" w:eastAsia="黑体" w:cs="楷体_GB2312"/>
          <w:sz w:val="24"/>
          <w:szCs w:val="24"/>
        </w:rPr>
      </w:pPr>
    </w:p>
    <w:p>
      <w:pPr>
        <w:spacing w:line="500" w:lineRule="exact"/>
        <w:jc w:val="right"/>
        <w:rPr>
          <w:rFonts w:ascii="仿宋" w:hAnsi="仿宋" w:eastAsia="仿宋"/>
          <w:b/>
          <w:sz w:val="24"/>
          <w:szCs w:val="24"/>
        </w:rPr>
      </w:pPr>
      <w:r>
        <w:rPr>
          <w:rFonts w:hint="eastAsia" w:ascii="仿宋" w:hAnsi="仿宋" w:eastAsia="仿宋"/>
          <w:b/>
          <w:sz w:val="24"/>
          <w:szCs w:val="24"/>
        </w:rPr>
        <w:t>共青团华东师范大学委员会  理论研究中心</w:t>
      </w:r>
    </w:p>
    <w:p>
      <w:pPr>
        <w:spacing w:line="500" w:lineRule="exact"/>
        <w:jc w:val="right"/>
        <w:rPr>
          <w:rFonts w:hint="eastAsia" w:ascii="仿宋" w:hAnsi="仿宋" w:eastAsia="仿宋"/>
          <w:b/>
          <w:sz w:val="24"/>
          <w:szCs w:val="24"/>
        </w:rPr>
      </w:pPr>
      <w:r>
        <w:rPr>
          <w:rFonts w:hint="eastAsia" w:ascii="仿宋" w:hAnsi="仿宋" w:eastAsia="仿宋"/>
          <w:b/>
          <w:sz w:val="24"/>
          <w:szCs w:val="24"/>
        </w:rPr>
        <w:t>二零一四年十一月</w:t>
      </w:r>
    </w:p>
    <w:p>
      <w:pPr>
        <w:spacing w:line="500" w:lineRule="exact"/>
        <w:jc w:val="left"/>
        <w:rPr>
          <w:rFonts w:ascii="仿宋" w:hAnsi="仿宋" w:eastAsia="仿宋"/>
          <w:b/>
          <w:sz w:val="28"/>
          <w:szCs w:val="28"/>
        </w:rPr>
      </w:pPr>
      <w:r>
        <w:rPr>
          <w:rFonts w:hint="eastAsia" w:ascii="仿宋" w:hAnsi="仿宋" w:eastAsia="仿宋"/>
          <w:b/>
          <w:sz w:val="28"/>
          <w:szCs w:val="28"/>
        </w:rPr>
        <w:t>参考文献</w:t>
      </w:r>
    </w:p>
    <w:p>
      <w:pPr>
        <w:spacing w:line="360" w:lineRule="auto"/>
        <w:rPr>
          <w:rFonts w:ascii="仿宋" w:hAnsi="仿宋" w:eastAsia="仿宋"/>
          <w:sz w:val="24"/>
          <w:szCs w:val="24"/>
        </w:rPr>
      </w:pPr>
      <w:r>
        <w:rPr>
          <w:rFonts w:hint="eastAsia" w:ascii="仿宋_GB2312" w:hAnsi="仿宋" w:eastAsia="仿宋_GB2312"/>
          <w:sz w:val="24"/>
          <w:szCs w:val="24"/>
        </w:rPr>
        <w:t>【1】</w:t>
      </w:r>
      <w:r>
        <w:rPr>
          <w:rFonts w:hint="eastAsia" w:ascii="仿宋" w:hAnsi="仿宋" w:eastAsia="仿宋"/>
          <w:sz w:val="24"/>
          <w:szCs w:val="24"/>
        </w:rPr>
        <w:t>闫桥静，2011年，《高校资源计划初探</w:t>
      </w:r>
      <w:bookmarkStart w:id="24" w:name="_GoBack"/>
      <w:bookmarkEnd w:id="24"/>
      <w:r>
        <w:rPr>
          <w:rFonts w:hint="eastAsia" w:ascii="仿宋" w:hAnsi="仿宋" w:eastAsia="仿宋"/>
          <w:sz w:val="24"/>
          <w:szCs w:val="24"/>
        </w:rPr>
        <w:t>》，《科技信息》第21期。</w:t>
      </w:r>
    </w:p>
    <w:p>
      <w:pPr>
        <w:spacing w:line="360" w:lineRule="auto"/>
        <w:ind w:left="720" w:hanging="720" w:hangingChars="300"/>
        <w:rPr>
          <w:rFonts w:ascii="仿宋" w:hAnsi="仿宋" w:eastAsia="仿宋"/>
          <w:sz w:val="24"/>
          <w:szCs w:val="24"/>
        </w:rPr>
      </w:pPr>
      <w:r>
        <w:rPr>
          <w:rFonts w:hint="eastAsia" w:ascii="仿宋" w:hAnsi="仿宋" w:eastAsia="仿宋"/>
          <w:sz w:val="24"/>
          <w:szCs w:val="24"/>
        </w:rPr>
        <w:t>【2】[英]维克托</w:t>
      </w:r>
      <w:r>
        <w:rPr>
          <w:rFonts w:hint="eastAsia" w:ascii="仿宋" w:hAnsi="仿宋" w:eastAsia="宋体" w:cs="宋体"/>
          <w:sz w:val="24"/>
          <w:szCs w:val="24"/>
        </w:rPr>
        <w:t>•</w:t>
      </w:r>
      <w:r>
        <w:rPr>
          <w:rFonts w:hint="eastAsia" w:ascii="仿宋" w:hAnsi="仿宋" w:eastAsia="仿宋" w:cs="仿宋"/>
          <w:sz w:val="24"/>
          <w:szCs w:val="24"/>
        </w:rPr>
        <w:t>迈尔</w:t>
      </w:r>
      <w:r>
        <w:rPr>
          <w:rFonts w:hint="eastAsia" w:ascii="仿宋" w:hAnsi="仿宋" w:eastAsia="仿宋"/>
          <w:sz w:val="24"/>
          <w:szCs w:val="24"/>
        </w:rPr>
        <w:t>-舍恩伯格、肯尼思</w:t>
      </w:r>
      <w:r>
        <w:rPr>
          <w:rFonts w:hint="eastAsia" w:ascii="仿宋" w:hAnsi="仿宋" w:eastAsia="宋体" w:cs="宋体"/>
          <w:sz w:val="24"/>
          <w:szCs w:val="24"/>
        </w:rPr>
        <w:t>•</w:t>
      </w:r>
      <w:r>
        <w:rPr>
          <w:rFonts w:hint="eastAsia" w:ascii="仿宋" w:hAnsi="仿宋" w:eastAsia="仿宋" w:cs="仿宋"/>
          <w:sz w:val="24"/>
          <w:szCs w:val="24"/>
        </w:rPr>
        <w:t>库克耶，</w:t>
      </w:r>
      <w:r>
        <w:rPr>
          <w:rFonts w:hint="eastAsia" w:ascii="仿宋" w:hAnsi="仿宋" w:eastAsia="仿宋"/>
          <w:sz w:val="24"/>
          <w:szCs w:val="24"/>
        </w:rPr>
        <w:t>2013，《大数据时代——生活、工作和思维的大变革》，盛杨燕、周涛译，浙江人民出版社。</w:t>
      </w:r>
    </w:p>
    <w:p>
      <w:pPr>
        <w:spacing w:line="360" w:lineRule="auto"/>
        <w:ind w:left="600" w:hanging="600" w:hangingChars="250"/>
        <w:rPr>
          <w:rFonts w:ascii="仿宋" w:hAnsi="仿宋" w:eastAsia="仿宋"/>
          <w:sz w:val="24"/>
          <w:szCs w:val="24"/>
        </w:rPr>
      </w:pPr>
      <w:r>
        <w:rPr>
          <w:rFonts w:hint="eastAsia" w:ascii="仿宋" w:hAnsi="仿宋" w:eastAsia="仿宋"/>
          <w:sz w:val="24"/>
          <w:szCs w:val="24"/>
        </w:rPr>
        <w:t>【3】[英]维克托</w:t>
      </w:r>
      <w:r>
        <w:rPr>
          <w:rFonts w:hint="eastAsia" w:ascii="仿宋" w:hAnsi="仿宋" w:eastAsia="宋体" w:cs="宋体"/>
          <w:sz w:val="24"/>
          <w:szCs w:val="24"/>
        </w:rPr>
        <w:t>•</w:t>
      </w:r>
      <w:r>
        <w:rPr>
          <w:rFonts w:hint="eastAsia" w:ascii="仿宋" w:hAnsi="仿宋" w:eastAsia="仿宋" w:cs="仿宋"/>
          <w:sz w:val="24"/>
          <w:szCs w:val="24"/>
        </w:rPr>
        <w:t>迈尔</w:t>
      </w:r>
      <w:r>
        <w:rPr>
          <w:rFonts w:hint="eastAsia" w:ascii="仿宋" w:hAnsi="仿宋" w:eastAsia="仿宋"/>
          <w:sz w:val="24"/>
          <w:szCs w:val="24"/>
        </w:rPr>
        <w:t>-舍恩伯格，2013，《删除：大数据取舍之道》，袁杰译，浙江人民出版社。</w:t>
      </w:r>
    </w:p>
    <w:p>
      <w:pPr>
        <w:spacing w:line="360" w:lineRule="auto"/>
        <w:rPr>
          <w:rFonts w:ascii="仿宋" w:hAnsi="仿宋" w:eastAsia="仿宋"/>
          <w:sz w:val="24"/>
          <w:szCs w:val="24"/>
        </w:rPr>
      </w:pPr>
      <w:r>
        <w:rPr>
          <w:rFonts w:hint="eastAsia" w:ascii="仿宋" w:hAnsi="仿宋" w:eastAsia="仿宋"/>
          <w:sz w:val="24"/>
          <w:szCs w:val="24"/>
        </w:rPr>
        <w:t>【4】</w:t>
      </w:r>
      <w:r>
        <w:rPr>
          <w:rFonts w:ascii="Times New Roman" w:hAnsi="Times New Roman" w:eastAsia="仿宋" w:cs="Times New Roman"/>
          <w:sz w:val="24"/>
          <w:szCs w:val="24"/>
        </w:rPr>
        <w:t>Bill Franks</w:t>
      </w:r>
      <w:r>
        <w:rPr>
          <w:rFonts w:hint="eastAsia" w:ascii="仿宋" w:hAnsi="仿宋" w:eastAsia="仿宋"/>
          <w:sz w:val="24"/>
          <w:szCs w:val="24"/>
        </w:rPr>
        <w:t>著，</w:t>
      </w:r>
      <w:r>
        <w:rPr>
          <w:rFonts w:ascii="Times New Roman" w:hAnsi="Times New Roman" w:eastAsia="仿宋" w:cs="Times New Roman"/>
          <w:sz w:val="24"/>
          <w:szCs w:val="24"/>
        </w:rPr>
        <w:t>2013</w:t>
      </w:r>
      <w:r>
        <w:rPr>
          <w:rFonts w:hint="eastAsia" w:ascii="仿宋" w:hAnsi="仿宋" w:eastAsia="仿宋"/>
          <w:sz w:val="24"/>
          <w:szCs w:val="24"/>
        </w:rPr>
        <w:t>，《驾驭大数据》，人民邮电出版社。</w:t>
      </w:r>
    </w:p>
    <w:p>
      <w:pPr>
        <w:spacing w:line="360" w:lineRule="auto"/>
        <w:rPr>
          <w:rFonts w:ascii="仿宋" w:hAnsi="仿宋" w:eastAsia="仿宋"/>
          <w:sz w:val="24"/>
          <w:szCs w:val="24"/>
        </w:rPr>
      </w:pPr>
      <w:r>
        <w:rPr>
          <w:rFonts w:hint="eastAsia" w:ascii="仿宋" w:hAnsi="仿宋" w:eastAsia="仿宋"/>
          <w:sz w:val="24"/>
          <w:szCs w:val="24"/>
        </w:rPr>
        <w:t>【5】郑炎明，2010，《论共青团干部的成长机制》，《青年探索》第4期。</w:t>
      </w:r>
    </w:p>
    <w:p>
      <w:pPr>
        <w:spacing w:line="360" w:lineRule="auto"/>
        <w:ind w:left="600" w:hanging="600" w:hangingChars="250"/>
        <w:rPr>
          <w:rFonts w:ascii="仿宋" w:hAnsi="仿宋" w:eastAsia="仿宋"/>
          <w:sz w:val="24"/>
          <w:szCs w:val="24"/>
        </w:rPr>
      </w:pPr>
      <w:r>
        <w:rPr>
          <w:rFonts w:hint="eastAsia" w:ascii="仿宋" w:hAnsi="仿宋" w:eastAsia="仿宋"/>
          <w:sz w:val="24"/>
          <w:szCs w:val="24"/>
        </w:rPr>
        <w:t>【6】秦书生、韩雪冰，2010，《高校拔尖人才培养探析.》，《党史文苑》，第6期。</w:t>
      </w:r>
    </w:p>
    <w:p>
      <w:pPr>
        <w:spacing w:line="360" w:lineRule="auto"/>
        <w:rPr>
          <w:rFonts w:ascii="仿宋" w:hAnsi="仿宋" w:eastAsia="仿宋"/>
          <w:sz w:val="24"/>
          <w:szCs w:val="24"/>
        </w:rPr>
      </w:pPr>
      <w:r>
        <w:rPr>
          <w:rFonts w:hint="eastAsia" w:ascii="仿宋" w:hAnsi="仿宋" w:eastAsia="仿宋"/>
          <w:sz w:val="24"/>
          <w:szCs w:val="24"/>
        </w:rPr>
        <w:t>【7】习近平：同团中央新一届领导班子成员集体谈话，2013年6月20日。</w:t>
      </w:r>
    </w:p>
    <w:p>
      <w:pPr>
        <w:spacing w:line="360" w:lineRule="auto"/>
        <w:ind w:left="600" w:hanging="600" w:hangingChars="250"/>
        <w:rPr>
          <w:rFonts w:ascii="仿宋" w:hAnsi="仿宋" w:eastAsia="仿宋"/>
          <w:sz w:val="24"/>
          <w:szCs w:val="24"/>
        </w:rPr>
      </w:pPr>
      <w:r>
        <w:rPr>
          <w:rFonts w:hint="eastAsia" w:ascii="仿宋" w:hAnsi="仿宋" w:eastAsia="仿宋"/>
          <w:sz w:val="24"/>
          <w:szCs w:val="24"/>
        </w:rPr>
        <w:t xml:space="preserve">【8】李源潮：肩负起带领全团为实现中国梦而奋斗的时代重任，2013年6月24日，中国青年网。 </w:t>
      </w:r>
    </w:p>
    <w:sectPr>
      <w:headerReference r:id="rId5" w:type="default"/>
      <w:footerReference r:id="rId6" w:type="default"/>
      <w:pgSz w:w="9979" w:h="14175"/>
      <w:pgMar w:top="1440" w:right="1134"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A00002EF" w:usb1="4000207B" w:usb2="00000000" w:usb3="00000000" w:csb0="2000009F" w:csb1="00000000"/>
  </w:font>
  <w:font w:name="Cambria">
    <w:panose1 w:val="02040503050406030204"/>
    <w:charset w:val="00"/>
    <w:family w:val="auto"/>
    <w:pitch w:val="default"/>
    <w:sig w:usb0="A00002EF" w:usb1="4000004B" w:usb2="00000000" w:usb3="00000000" w:csb0="2000009F" w:csb1="00000000"/>
  </w:font>
  <w:font w:name="楷体">
    <w:altName w:val="楷体_GB2312"/>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MingLiU">
    <w:panose1 w:val="02020309000000000000"/>
    <w:charset w:val="88"/>
    <w:family w:val="auto"/>
    <w:pitch w:val="default"/>
    <w:sig w:usb0="00000003" w:usb1="082E0000" w:usb2="00000016" w:usb3="00000000" w:csb0="00100001" w:csb1="00000000"/>
  </w:font>
  <w:font w:name="Helvetica">
    <w:altName w:val="Arial"/>
    <w:panose1 w:val="020B0604020202020204"/>
    <w:charset w:val="00"/>
    <w:family w:val="auto"/>
    <w:pitch w:val="default"/>
    <w:sig w:usb0="00000003" w:usb1="00000000" w:usb2="00000000" w:usb3="00000000" w:csb0="00000001" w:csb1="00000000"/>
  </w:font>
  <w:font w:name="华文中宋">
    <w:panose1 w:val="02010600040101010101"/>
    <w:charset w:val="86"/>
    <w:family w:val="auto"/>
    <w:pitch w:val="default"/>
    <w:sig w:usb0="00000287" w:usb1="080F0000" w:usb2="00000000" w:usb3="00000000" w:csb0="0004009F" w:csb1="DFD70000"/>
  </w:font>
  <w:font w:name="宋体-PUA">
    <w:panose1 w:val="02010600030101010101"/>
    <w:charset w:val="86"/>
    <w:family w:val="auto"/>
    <w:pitch w:val="default"/>
    <w:sig w:usb0="00000000" w:usb1="1000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
    <w:altName w:val="仿宋_GB2312"/>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8"/>
      <w:jc w:val="center"/>
    </w:pPr>
    <w:r>
      <w:fldChar w:fldCharType="begin"/>
    </w:r>
    <w:r>
      <w:instrText xml:space="preserve">PAGE   \* MERGEFORMAT</w:instrText>
    </w:r>
    <w:r>
      <w:fldChar w:fldCharType="separate"/>
    </w:r>
    <w:r>
      <w:t>1</w:t>
    </w:r>
    <w:r>
      <w:rPr>
        <w:lang w:val="zh-CN"/>
      </w:rPr>
      <w:fldChar w:fldCharType="end"/>
    </w:r>
  </w:p>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footnote w:id="0">
    <w:p>
      <w:pPr>
        <w:pStyle w:val="11"/>
      </w:pPr>
      <w:r>
        <w:rPr>
          <w:rFonts w:ascii="宋体" w:hAnsi="宋体" w:eastAsia="宋体"/>
          <w:sz w:val="21"/>
          <w:szCs w:val="21"/>
          <w:vertAlign w:val="superscript"/>
        </w:rPr>
        <w:footnoteRef/>
      </w:r>
      <w:r>
        <w:rPr>
          <w:rFonts w:ascii="宋体" w:hAnsi="宋体" w:eastAsia="宋体"/>
          <w:sz w:val="21"/>
          <w:szCs w:val="21"/>
        </w:rPr>
        <w:t xml:space="preserve"> </w:t>
      </w:r>
      <w:r>
        <w:rPr>
          <w:rFonts w:eastAsia="宋体"/>
        </w:rPr>
        <w:t>即Massive（大规模的）、Open（开放的） 、Online（在线的）、Course（课程）四个词的缩写，大规模的网络开放课程。2012年，美国的顶尖大学陆续设立网络学习平台，在网上提供免费课程，Coursera、Udacity、edX三大课程提供商的兴起，给更多学生提供了系统学习的可能。其课程特征可归纳为：1、工具资源多元化：MOOC课程整合多种社交网络工具和多种形式的数字化资源，形成多元化的学习工具和丰富的课程资源。2、课程易于使用：突破传统课程时间、空间的限制，依托互联网世界各地的学习者在家即可学到国内外著名高校课程。3、课程受众面广：突破传统课程人数限制，能够满足大规模课程学习者学习。4、课程参与自主性：MOOC课程具有较高的入学率，同时也具有较高的辍学率，这就需要学习者具有较强的自主学习能力才能按时完成课程学习内容。</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9"/>
      <w:jc w:val="right"/>
    </w:pPr>
    <w:r>
      <w:rPr>
        <w:rFonts w:hint="eastAsia"/>
      </w:rPr>
      <w:t xml:space="preserve">2014年度上海市青年工作研究课题         </w:t>
    </w:r>
    <w:r>
      <w:rPr>
        <w:rFonts w:hint="eastAsia"/>
        <w:i/>
      </w:rPr>
      <w:t>大数据时代背景下拔尖人才的共青团培养创新研究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5D4501"/>
    <w:rsid w:val="000068BC"/>
    <w:rsid w:val="00036AF7"/>
    <w:rsid w:val="00043027"/>
    <w:rsid w:val="000607E5"/>
    <w:rsid w:val="00060910"/>
    <w:rsid w:val="00064FB4"/>
    <w:rsid w:val="000A21F4"/>
    <w:rsid w:val="000B5FA0"/>
    <w:rsid w:val="001045FA"/>
    <w:rsid w:val="0010758B"/>
    <w:rsid w:val="00107F58"/>
    <w:rsid w:val="001143DD"/>
    <w:rsid w:val="00131015"/>
    <w:rsid w:val="00145A27"/>
    <w:rsid w:val="00180FA9"/>
    <w:rsid w:val="00196EB7"/>
    <w:rsid w:val="001A4388"/>
    <w:rsid w:val="001A7F5D"/>
    <w:rsid w:val="001C1EC4"/>
    <w:rsid w:val="001C2AAE"/>
    <w:rsid w:val="001C3A08"/>
    <w:rsid w:val="001C4E47"/>
    <w:rsid w:val="001D0FF5"/>
    <w:rsid w:val="00227E7D"/>
    <w:rsid w:val="0024471F"/>
    <w:rsid w:val="0024613C"/>
    <w:rsid w:val="00266CC3"/>
    <w:rsid w:val="00276FEF"/>
    <w:rsid w:val="002A4960"/>
    <w:rsid w:val="002B759B"/>
    <w:rsid w:val="002C3A9A"/>
    <w:rsid w:val="002D2A23"/>
    <w:rsid w:val="0033026B"/>
    <w:rsid w:val="00342731"/>
    <w:rsid w:val="00375B37"/>
    <w:rsid w:val="0038139D"/>
    <w:rsid w:val="003B6186"/>
    <w:rsid w:val="004372BB"/>
    <w:rsid w:val="0047043C"/>
    <w:rsid w:val="00472562"/>
    <w:rsid w:val="004A69FD"/>
    <w:rsid w:val="004B054A"/>
    <w:rsid w:val="004C7E6F"/>
    <w:rsid w:val="004D2A62"/>
    <w:rsid w:val="00522168"/>
    <w:rsid w:val="00560DF3"/>
    <w:rsid w:val="0058713A"/>
    <w:rsid w:val="005A32B5"/>
    <w:rsid w:val="005B7C8E"/>
    <w:rsid w:val="005C246D"/>
    <w:rsid w:val="005C3B4D"/>
    <w:rsid w:val="005D4501"/>
    <w:rsid w:val="006848AC"/>
    <w:rsid w:val="006A6AC3"/>
    <w:rsid w:val="006B6973"/>
    <w:rsid w:val="006C557D"/>
    <w:rsid w:val="006C6244"/>
    <w:rsid w:val="007110C0"/>
    <w:rsid w:val="00715F8C"/>
    <w:rsid w:val="007253AA"/>
    <w:rsid w:val="00732F6B"/>
    <w:rsid w:val="00774579"/>
    <w:rsid w:val="007D7B0C"/>
    <w:rsid w:val="007E3C05"/>
    <w:rsid w:val="00836A76"/>
    <w:rsid w:val="00865404"/>
    <w:rsid w:val="008A5143"/>
    <w:rsid w:val="008A6590"/>
    <w:rsid w:val="008C4E7C"/>
    <w:rsid w:val="00902DA0"/>
    <w:rsid w:val="00942F0B"/>
    <w:rsid w:val="00943904"/>
    <w:rsid w:val="0095672E"/>
    <w:rsid w:val="0096001E"/>
    <w:rsid w:val="009654F4"/>
    <w:rsid w:val="0098544B"/>
    <w:rsid w:val="00992D96"/>
    <w:rsid w:val="009B59E7"/>
    <w:rsid w:val="009D1654"/>
    <w:rsid w:val="00A371EC"/>
    <w:rsid w:val="00A46C90"/>
    <w:rsid w:val="00A576AB"/>
    <w:rsid w:val="00A757FE"/>
    <w:rsid w:val="00A8315A"/>
    <w:rsid w:val="00AA3C56"/>
    <w:rsid w:val="00AE20A6"/>
    <w:rsid w:val="00B00331"/>
    <w:rsid w:val="00B21361"/>
    <w:rsid w:val="00B55C64"/>
    <w:rsid w:val="00B56645"/>
    <w:rsid w:val="00B66BB6"/>
    <w:rsid w:val="00B731C4"/>
    <w:rsid w:val="00B733FD"/>
    <w:rsid w:val="00BA1382"/>
    <w:rsid w:val="00BC6C0B"/>
    <w:rsid w:val="00C12E12"/>
    <w:rsid w:val="00C45220"/>
    <w:rsid w:val="00C81128"/>
    <w:rsid w:val="00C85650"/>
    <w:rsid w:val="00C9126E"/>
    <w:rsid w:val="00D16DF7"/>
    <w:rsid w:val="00D21608"/>
    <w:rsid w:val="00D23D91"/>
    <w:rsid w:val="00D453D1"/>
    <w:rsid w:val="00D563A7"/>
    <w:rsid w:val="00D65752"/>
    <w:rsid w:val="00DE7AA9"/>
    <w:rsid w:val="00DF351F"/>
    <w:rsid w:val="00E11787"/>
    <w:rsid w:val="00E621DE"/>
    <w:rsid w:val="00E65391"/>
    <w:rsid w:val="00E76E8A"/>
    <w:rsid w:val="00E865BC"/>
    <w:rsid w:val="00EA490C"/>
    <w:rsid w:val="00F1170B"/>
    <w:rsid w:val="00F2354E"/>
    <w:rsid w:val="00F24555"/>
    <w:rsid w:val="00F2745D"/>
    <w:rsid w:val="00F331E3"/>
    <w:rsid w:val="00F4675F"/>
    <w:rsid w:val="00F53B38"/>
    <w:rsid w:val="00F9045A"/>
    <w:rsid w:val="00F95248"/>
    <w:rsid w:val="00FC0C7F"/>
    <w:rsid w:val="00FD2BD3"/>
    <w:rsid w:val="0D654649"/>
  </w:rsids>
  <w:doNotAutoCompressPicture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semiHidden="0" w:name="toc 1"/>
    <w:lsdException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semiHidden="0" w:name="footnote text"/>
    <w:lsdException w:uiPriority="0" w:name="annotation text"/>
    <w:lsdException w:uiPriority="99" w:semiHidden="0" w:name="header"/>
    <w:lsdException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semiHidden="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99"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99"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link w:val="26"/>
    <w:qFormat/>
    <w:uiPriority w:val="9"/>
    <w:pPr>
      <w:keepNext/>
      <w:keepLines/>
      <w:spacing w:before="340" w:after="330" w:line="578" w:lineRule="auto"/>
      <w:outlineLvl w:val="0"/>
    </w:pPr>
    <w:rPr>
      <w:rFonts w:eastAsia="黑体"/>
      <w:b/>
      <w:bCs/>
      <w:kern w:val="44"/>
      <w:sz w:val="28"/>
      <w:szCs w:val="44"/>
    </w:rPr>
  </w:style>
  <w:style w:type="paragraph" w:styleId="3">
    <w:name w:val="heading 2"/>
    <w:basedOn w:val="1"/>
    <w:next w:val="1"/>
    <w:link w:val="27"/>
    <w:unhideWhenUsed/>
    <w:qFormat/>
    <w:uiPriority w:val="9"/>
    <w:pPr>
      <w:keepNext/>
      <w:keepLines/>
      <w:spacing w:before="260" w:after="260" w:line="416" w:lineRule="auto"/>
      <w:outlineLvl w:val="1"/>
    </w:pPr>
    <w:rPr>
      <w:rFonts w:ascii="Cambria" w:hAnsi="Cambria" w:eastAsia="宋体" w:cs="黑体"/>
      <w:b/>
      <w:bCs/>
      <w:sz w:val="24"/>
      <w:szCs w:val="32"/>
    </w:rPr>
  </w:style>
  <w:style w:type="paragraph" w:styleId="4">
    <w:name w:val="heading 3"/>
    <w:basedOn w:val="1"/>
    <w:next w:val="1"/>
    <w:link w:val="33"/>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34"/>
    <w:unhideWhenUsed/>
    <w:qFormat/>
    <w:uiPriority w:val="9"/>
    <w:pPr>
      <w:keepNext/>
      <w:keepLines/>
      <w:spacing w:before="280" w:after="290" w:line="376" w:lineRule="auto"/>
      <w:outlineLvl w:val="3"/>
    </w:pPr>
    <w:rPr>
      <w:rFonts w:ascii="Cambria" w:hAnsi="Cambria" w:eastAsia="宋体" w:cs="黑体"/>
      <w:b/>
      <w:bCs/>
      <w:sz w:val="28"/>
      <w:szCs w:val="28"/>
    </w:rPr>
  </w:style>
  <w:style w:type="paragraph" w:styleId="6">
    <w:name w:val="heading 5"/>
    <w:basedOn w:val="1"/>
    <w:next w:val="1"/>
    <w:link w:val="35"/>
    <w:unhideWhenUsed/>
    <w:qFormat/>
    <w:uiPriority w:val="9"/>
    <w:pPr>
      <w:keepNext/>
      <w:keepLines/>
      <w:spacing w:before="280" w:after="290" w:line="376" w:lineRule="auto"/>
      <w:outlineLvl w:val="4"/>
    </w:pPr>
    <w:rPr>
      <w:b/>
      <w:bCs/>
      <w:sz w:val="28"/>
      <w:szCs w:val="28"/>
    </w:rPr>
  </w:style>
  <w:style w:type="character" w:default="1" w:styleId="15">
    <w:name w:val="Default Paragraph Font"/>
    <w:unhideWhenUsed/>
    <w:uiPriority w:val="1"/>
  </w:style>
  <w:style w:type="table" w:default="1" w:styleId="18">
    <w:name w:val="Normal Table"/>
    <w:unhideWhenUsed/>
    <w:uiPriority w:val="99"/>
    <w:tblPr>
      <w:tblStyle w:val="18"/>
      <w:tblLayout w:type="fixed"/>
      <w:tblCellMar>
        <w:top w:w="0" w:type="dxa"/>
        <w:left w:w="108" w:type="dxa"/>
        <w:bottom w:w="0" w:type="dxa"/>
        <w:right w:w="108" w:type="dxa"/>
      </w:tblCellMar>
    </w:tblPr>
    <w:tcPr>
      <w:textDirection w:val="lrTb"/>
    </w:tcPr>
  </w:style>
  <w:style w:type="paragraph" w:styleId="7">
    <w:name w:val="Balloon Text"/>
    <w:basedOn w:val="1"/>
    <w:link w:val="31"/>
    <w:unhideWhenUsed/>
    <w:uiPriority w:val="99"/>
    <w:rPr>
      <w:sz w:val="18"/>
      <w:szCs w:val="18"/>
    </w:rPr>
  </w:style>
  <w:style w:type="paragraph" w:styleId="8">
    <w:name w:val="footer"/>
    <w:basedOn w:val="1"/>
    <w:link w:val="30"/>
    <w:unhideWhenUsed/>
    <w:uiPriority w:val="99"/>
    <w:pPr>
      <w:tabs>
        <w:tab w:val="center" w:pos="4153"/>
        <w:tab w:val="right" w:pos="8306"/>
      </w:tabs>
      <w:snapToGrid w:val="0"/>
      <w:jc w:val="left"/>
    </w:pPr>
    <w:rPr>
      <w:sz w:val="18"/>
      <w:szCs w:val="18"/>
    </w:rPr>
  </w:style>
  <w:style w:type="paragraph" w:styleId="9">
    <w:name w:val="header"/>
    <w:basedOn w:val="1"/>
    <w:link w:val="29"/>
    <w:unhideWhenUsed/>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unhideWhenUsed/>
    <w:uiPriority w:val="39"/>
    <w:pPr>
      <w:tabs>
        <w:tab w:val="right" w:leader="dot" w:pos="8296"/>
      </w:tabs>
      <w:spacing w:line="480" w:lineRule="exact"/>
    </w:pPr>
    <w:rPr>
      <w:rFonts w:ascii="楷体" w:hAnsi="楷体" w:eastAsia="楷体"/>
      <w:b/>
      <w:sz w:val="28"/>
      <w:szCs w:val="28"/>
    </w:rPr>
  </w:style>
  <w:style w:type="paragraph" w:styleId="11">
    <w:name w:val="footnote text"/>
    <w:basedOn w:val="1"/>
    <w:link w:val="28"/>
    <w:unhideWhenUsed/>
    <w:uiPriority w:val="0"/>
    <w:pPr>
      <w:snapToGrid w:val="0"/>
      <w:jc w:val="left"/>
    </w:pPr>
    <w:rPr>
      <w:rFonts w:ascii="Times New Roman" w:hAnsi="Times New Roman" w:eastAsia="宋体" w:cs="Times New Roman"/>
      <w:sz w:val="18"/>
      <w:szCs w:val="18"/>
    </w:rPr>
  </w:style>
  <w:style w:type="paragraph" w:styleId="12">
    <w:name w:val="toc 2"/>
    <w:basedOn w:val="1"/>
    <w:next w:val="1"/>
    <w:unhideWhenUsed/>
    <w:uiPriority w:val="39"/>
    <w:pPr>
      <w:ind w:left="420" w:leftChars="200"/>
    </w:pPr>
  </w:style>
  <w:style w:type="paragraph" w:styleId="13">
    <w:name w:val="Normal (Web)"/>
    <w:uiPriority w:val="0"/>
    <w:pPr>
      <w:widowControl w:val="0"/>
    </w:pPr>
    <w:rPr>
      <w:rFonts w:ascii="Arial Unicode MS" w:hAnsi="Arial Unicode MS" w:eastAsia="Arial Unicode MS" w:cs="Arial Unicode MS"/>
      <w:color w:val="000000"/>
      <w:kern w:val="0"/>
      <w:sz w:val="24"/>
      <w:szCs w:val="24"/>
      <w:u w:val="none" w:color="000000"/>
      <w:lang w:val="en-US" w:eastAsia="zh-CN" w:bidi="ar-SA"/>
    </w:rPr>
  </w:style>
  <w:style w:type="paragraph" w:styleId="14">
    <w:name w:val="Title"/>
    <w:basedOn w:val="1"/>
    <w:next w:val="1"/>
    <w:link w:val="32"/>
    <w:qFormat/>
    <w:uiPriority w:val="10"/>
    <w:pPr>
      <w:spacing w:before="240" w:after="60"/>
      <w:jc w:val="center"/>
      <w:outlineLvl w:val="0"/>
    </w:pPr>
    <w:rPr>
      <w:rFonts w:ascii="Cambria" w:hAnsi="Cambria" w:eastAsia="宋体" w:cs="黑体"/>
      <w:b/>
      <w:bCs/>
      <w:sz w:val="32"/>
      <w:szCs w:val="32"/>
    </w:rPr>
  </w:style>
  <w:style w:type="character" w:styleId="16">
    <w:name w:val="Hyperlink"/>
    <w:basedOn w:val="15"/>
    <w:unhideWhenUsed/>
    <w:uiPriority w:val="99"/>
    <w:rPr>
      <w:color w:val="0000FF"/>
      <w:u w:val="single"/>
    </w:rPr>
  </w:style>
  <w:style w:type="character" w:styleId="17">
    <w:name w:val="footnote reference"/>
    <w:basedOn w:val="15"/>
    <w:unhideWhenUsed/>
    <w:uiPriority w:val="0"/>
    <w:rPr>
      <w:vertAlign w:val="superscript"/>
    </w:rPr>
  </w:style>
  <w:style w:type="paragraph" w:customStyle="1" w:styleId="19">
    <w:name w:val="List Paragraph"/>
    <w:basedOn w:val="1"/>
    <w:qFormat/>
    <w:uiPriority w:val="34"/>
    <w:pPr>
      <w:ind w:firstLine="420" w:firstLineChars="200"/>
    </w:pPr>
  </w:style>
  <w:style w:type="paragraph" w:customStyle="1" w:styleId="20">
    <w:name w:val="No Spacing"/>
    <w:qFormat/>
    <w:uiPriority w:val="1"/>
    <w:pPr>
      <w:widowControl w:val="0"/>
      <w:jc w:val="both"/>
    </w:pPr>
    <w:rPr>
      <w:rFonts w:ascii="Times New Roman" w:hAnsi="Times New Roman" w:eastAsia="宋体" w:cs="黑体"/>
      <w:kern w:val="2"/>
      <w:sz w:val="21"/>
      <w:szCs w:val="22"/>
      <w:lang w:val="en-US" w:eastAsia="zh-CN" w:bidi="ar-SA"/>
    </w:rPr>
  </w:style>
  <w:style w:type="paragraph" w:customStyle="1" w:styleId="21">
    <w:name w:val="TOC Heading"/>
    <w:basedOn w:val="2"/>
    <w:next w:val="1"/>
    <w:unhideWhenUsed/>
    <w:qFormat/>
    <w:uiPriority w:val="39"/>
    <w:pPr>
      <w:widowControl/>
      <w:spacing w:before="480" w:after="0" w:line="276" w:lineRule="auto"/>
      <w:jc w:val="left"/>
      <w:outlineLvl w:val="9"/>
    </w:pPr>
    <w:rPr>
      <w:rFonts w:ascii="Cambria" w:hAnsi="Cambria" w:eastAsia="宋体" w:cs="黑体"/>
      <w:color w:val="365F90"/>
      <w:kern w:val="0"/>
      <w:szCs w:val="28"/>
    </w:rPr>
  </w:style>
  <w:style w:type="paragraph" w:customStyle="1" w:styleId="22">
    <w:name w:val="正文 A"/>
    <w:uiPriority w:val="0"/>
    <w:pPr>
      <w:widowControl w:val="0"/>
      <w:jc w:val="both"/>
    </w:pPr>
    <w:rPr>
      <w:rFonts w:hint="eastAsia" w:ascii="Arial Unicode MS" w:hAnsi="Arial Unicode MS" w:eastAsia="Arial Unicode MS" w:cs="Arial Unicode MS"/>
      <w:color w:val="000000"/>
      <w:kern w:val="2"/>
      <w:sz w:val="21"/>
      <w:szCs w:val="21"/>
      <w:u w:val="none" w:color="000000"/>
      <w:lang w:val="en-US" w:eastAsia="zh-CN" w:bidi="ar-SA"/>
    </w:rPr>
  </w:style>
  <w:style w:type="paragraph" w:customStyle="1" w:styleId="23">
    <w:name w:val="正文文本 (12)1"/>
    <w:uiPriority w:val="0"/>
    <w:pPr>
      <w:widowControl w:val="0"/>
      <w:shd w:val="clear" w:color="auto" w:fill="FFFFFF"/>
      <w:spacing w:line="240" w:lineRule="atLeast"/>
      <w:jc w:val="both"/>
    </w:pPr>
    <w:rPr>
      <w:rFonts w:ascii="MingLiU" w:hAnsi="MingLiU" w:eastAsia="MingLiU" w:cs="MingLiU"/>
      <w:color w:val="000000"/>
      <w:kern w:val="2"/>
      <w:sz w:val="21"/>
      <w:szCs w:val="21"/>
      <w:u w:val="none" w:color="000000"/>
      <w:lang w:val="en-US" w:eastAsia="zh-CN" w:bidi="ar-SA"/>
    </w:rPr>
  </w:style>
  <w:style w:type="paragraph" w:customStyle="1" w:styleId="24">
    <w:name w:val="表格样式 2 A"/>
    <w:uiPriority w:val="0"/>
    <w:pPr>
      <w:widowControl w:val="0"/>
      <w:jc w:val="both"/>
    </w:pPr>
    <w:rPr>
      <w:rFonts w:hint="eastAsia" w:ascii="Arial Unicode MS" w:hAnsi="Arial Unicode MS" w:eastAsia="Helvetica" w:cs="Arial Unicode MS"/>
      <w:color w:val="000000"/>
      <w:kern w:val="0"/>
      <w:sz w:val="20"/>
      <w:szCs w:val="20"/>
      <w:u w:val="none" w:color="000000"/>
      <w:lang w:val="en-US" w:eastAsia="zh-CN" w:bidi="ar-SA"/>
    </w:rPr>
  </w:style>
  <w:style w:type="paragraph" w:customStyle="1" w:styleId="25">
    <w:name w:val="表格样式 2"/>
    <w:uiPriority w:val="0"/>
    <w:rPr>
      <w:rFonts w:ascii="Helvetica" w:hAnsi="Helvetica" w:eastAsia="Helvetica" w:cs="Helvetica"/>
      <w:color w:val="000000"/>
      <w:kern w:val="0"/>
      <w:sz w:val="20"/>
      <w:szCs w:val="20"/>
      <w:lang w:val="en-US" w:eastAsia="zh-CN" w:bidi="ar-SA"/>
    </w:rPr>
  </w:style>
  <w:style w:type="character" w:customStyle="1" w:styleId="26">
    <w:name w:val="标题 1 Char"/>
    <w:basedOn w:val="15"/>
    <w:link w:val="2"/>
    <w:uiPriority w:val="9"/>
    <w:rPr>
      <w:rFonts w:eastAsia="黑体"/>
      <w:b/>
      <w:bCs/>
      <w:kern w:val="44"/>
      <w:sz w:val="28"/>
      <w:szCs w:val="44"/>
    </w:rPr>
  </w:style>
  <w:style w:type="character" w:customStyle="1" w:styleId="27">
    <w:name w:val="标题 2 Char"/>
    <w:basedOn w:val="15"/>
    <w:link w:val="3"/>
    <w:uiPriority w:val="9"/>
    <w:rPr>
      <w:rFonts w:ascii="Cambria" w:hAnsi="Cambria" w:eastAsia="宋体" w:cs="黑体"/>
      <w:b/>
      <w:bCs/>
      <w:sz w:val="24"/>
      <w:szCs w:val="32"/>
    </w:rPr>
  </w:style>
  <w:style w:type="character" w:customStyle="1" w:styleId="28">
    <w:name w:val="脚注文本 Char"/>
    <w:basedOn w:val="15"/>
    <w:link w:val="11"/>
    <w:uiPriority w:val="99"/>
    <w:rPr>
      <w:rFonts w:ascii="Times New Roman" w:hAnsi="Times New Roman" w:eastAsia="宋体" w:cs="Times New Roman"/>
      <w:sz w:val="18"/>
      <w:szCs w:val="18"/>
    </w:rPr>
  </w:style>
  <w:style w:type="character" w:customStyle="1" w:styleId="29">
    <w:name w:val="页眉 Char"/>
    <w:basedOn w:val="15"/>
    <w:link w:val="9"/>
    <w:uiPriority w:val="99"/>
    <w:rPr>
      <w:sz w:val="18"/>
      <w:szCs w:val="18"/>
    </w:rPr>
  </w:style>
  <w:style w:type="character" w:customStyle="1" w:styleId="30">
    <w:name w:val="页脚 Char"/>
    <w:basedOn w:val="15"/>
    <w:link w:val="8"/>
    <w:uiPriority w:val="99"/>
    <w:rPr>
      <w:sz w:val="18"/>
      <w:szCs w:val="18"/>
    </w:rPr>
  </w:style>
  <w:style w:type="character" w:customStyle="1" w:styleId="31">
    <w:name w:val="批注框文本 Char"/>
    <w:basedOn w:val="15"/>
    <w:link w:val="7"/>
    <w:semiHidden/>
    <w:uiPriority w:val="99"/>
    <w:rPr>
      <w:sz w:val="18"/>
      <w:szCs w:val="18"/>
    </w:rPr>
  </w:style>
  <w:style w:type="character" w:customStyle="1" w:styleId="32">
    <w:name w:val="标题 Char"/>
    <w:basedOn w:val="15"/>
    <w:link w:val="14"/>
    <w:uiPriority w:val="10"/>
    <w:rPr>
      <w:rFonts w:ascii="Cambria" w:hAnsi="Cambria" w:eastAsia="宋体" w:cs="黑体"/>
      <w:b/>
      <w:bCs/>
      <w:sz w:val="32"/>
      <w:szCs w:val="32"/>
    </w:rPr>
  </w:style>
  <w:style w:type="character" w:customStyle="1" w:styleId="33">
    <w:name w:val="标题 3 Char"/>
    <w:basedOn w:val="15"/>
    <w:link w:val="4"/>
    <w:uiPriority w:val="9"/>
    <w:rPr>
      <w:b/>
      <w:bCs/>
      <w:sz w:val="32"/>
      <w:szCs w:val="32"/>
    </w:rPr>
  </w:style>
  <w:style w:type="character" w:customStyle="1" w:styleId="34">
    <w:name w:val="标题 4 Char"/>
    <w:basedOn w:val="15"/>
    <w:link w:val="5"/>
    <w:uiPriority w:val="9"/>
    <w:rPr>
      <w:rFonts w:ascii="Cambria" w:hAnsi="Cambria" w:eastAsia="宋体" w:cs="黑体"/>
      <w:b/>
      <w:bCs/>
      <w:sz w:val="28"/>
      <w:szCs w:val="28"/>
    </w:rPr>
  </w:style>
  <w:style w:type="character" w:customStyle="1" w:styleId="35">
    <w:name w:val="标题 5 Char"/>
    <w:basedOn w:val="15"/>
    <w:link w:val="6"/>
    <w:uiPriority w:val="9"/>
    <w:rPr>
      <w:b/>
      <w:bCs/>
      <w:sz w:val="28"/>
      <w:szCs w:val="28"/>
    </w:rPr>
  </w:style>
  <w:style w:type="table" w:customStyle="1" w:styleId="36">
    <w:name w:val="Table Normal"/>
    <w:uiPriority w:val="0"/>
    <w:rPr>
      <w:rFonts w:ascii="Times New Roman" w:hAnsi="Times New Roman" w:cs="Times New Roman"/>
      <w:kern w:val="0"/>
      <w:sz w:val="20"/>
      <w:szCs w:val="20"/>
    </w:rPr>
    <w:tblPr>
      <w:tblStyle w:val="18"/>
      <w:tblLayout w:type="fixed"/>
      <w:tblCellMar>
        <w:top w:w="0" w:type="dxa"/>
        <w:left w:w="0" w:type="dxa"/>
        <w:bottom w:w="0" w:type="dxa"/>
        <w:right w:w="0" w:type="dxa"/>
      </w:tblCellMar>
    </w:tblPr>
    <w:tcPr>
      <w:textDirection w:val="lrTb"/>
    </w:tc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footnotes" Target="footnotes.xml"/><Relationship Id="rId3" Type="http://schemas.openxmlformats.org/officeDocument/2006/relationships/settings" Target="settings.xml"/><Relationship Id="rId2" Type="http://schemas.openxmlformats.org/officeDocument/2006/relationships/styles" Target="styles.xml"/><Relationship Id="rId10" Type="http://schemas.openxmlformats.org/officeDocument/2006/relationships/customXml" Target="../customXml/item1.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1600</Words>
  <Characters>9126</Characters>
  <Lines>76</Lines>
  <Paragraphs>21</Paragraphs>
  <TotalTime>0</TotalTime>
  <ScaleCrop>false</ScaleCrop>
  <LinksUpToDate>false</LinksUpToDate>
  <CharactersWithSpaces>0</CharactersWithSpaces>
  <Application>WPS Office 个人版_9.1.0.4994_{F1E327BC-269C-435d-A152-05C5408002CA}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2014-11-19T08:23:00Z</dcterms:created>
  <dc:creator>janewang561</dc:creator>
  <cp:lastModifiedBy>dell</cp:lastModifiedBy>
  <cp:lastPrinted>2015-04-22T08:27:59Z</cp:lastPrinted>
  <dcterms:modified xsi:type="dcterms:W3CDTF">2015-04-22T08:28:15Z</dcterms:modified>
  <dc:title>大数据时代背景下拔尖人才的共青团培养创新研究</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2052-9.1.0.4994</vt:lpwstr>
  </property>
</Properties>
</file>