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ordWrap/>
        <w:adjustRightInd/>
        <w:snapToGrid/>
        <w:spacing w:before="0" w:after="0" w:line="540" w:lineRule="exact"/>
        <w:ind w:left="0" w:leftChars="0" w:right="0"/>
        <w:jc w:val="left"/>
        <w:textAlignment w:val="auto"/>
        <w:outlineLvl w:val="9"/>
        <w:rPr>
          <w:rFonts w:hint="eastAsia" w:ascii="仿宋" w:hAnsi="仿宋" w:eastAsia="仿宋"/>
          <w:sz w:val="28"/>
          <w:szCs w:val="28"/>
        </w:rPr>
      </w:pPr>
      <w:r>
        <w:rPr>
          <w:rFonts w:hint="eastAsia" w:ascii="仿宋" w:hAnsi="仿宋" w:eastAsia="仿宋"/>
          <w:sz w:val="28"/>
          <w:szCs w:val="28"/>
        </w:rPr>
        <w:t>学校共青团重点工作创新试点申报材料</w:t>
      </w:r>
    </w:p>
    <w:p>
      <w:pPr>
        <w:wordWrap/>
        <w:adjustRightInd/>
        <w:snapToGrid/>
        <w:spacing w:before="0" w:after="0" w:line="540" w:lineRule="exact"/>
        <w:ind w:left="0" w:leftChars="0" w:right="0"/>
        <w:jc w:val="left"/>
        <w:textAlignment w:val="auto"/>
        <w:outlineLvl w:val="9"/>
        <w:rPr>
          <w:rFonts w:hint="eastAsia" w:ascii="仿宋" w:hAnsi="仿宋" w:eastAsia="仿宋"/>
          <w:sz w:val="28"/>
          <w:szCs w:val="28"/>
          <w:lang w:eastAsia="zh-CN"/>
        </w:rPr>
      </w:pPr>
    </w:p>
    <w:p>
      <w:pPr>
        <w:wordWrap/>
        <w:adjustRightInd/>
        <w:snapToGrid/>
        <w:spacing w:before="0" w:after="0" w:line="540" w:lineRule="exact"/>
        <w:ind w:left="0" w:leftChars="0" w:right="0"/>
        <w:jc w:val="center"/>
        <w:textAlignment w:val="auto"/>
        <w:outlineLvl w:val="9"/>
        <w:rPr>
          <w:rFonts w:hint="eastAsia" w:ascii="华文中宋" w:hAnsi="华文中宋" w:eastAsia="华文中宋" w:cs="华文中宋"/>
          <w:sz w:val="40"/>
        </w:rPr>
      </w:pPr>
      <w:r>
        <w:rPr>
          <w:rFonts w:hint="eastAsia" w:ascii="华文中宋" w:hAnsi="华文中宋" w:eastAsia="华文中宋" w:cs="华文中宋"/>
          <w:sz w:val="40"/>
          <w:lang w:eastAsia="zh-CN"/>
        </w:rPr>
        <w:t>“青年马克思主义培养工程”</w:t>
      </w:r>
      <w:r>
        <w:rPr>
          <w:rFonts w:hint="eastAsia" w:ascii="华文中宋" w:hAnsi="华文中宋" w:eastAsia="华文中宋" w:cs="华文中宋"/>
          <w:sz w:val="40"/>
        </w:rPr>
        <w:t>创新试点工作思路</w:t>
      </w:r>
    </w:p>
    <w:p>
      <w:pPr>
        <w:pStyle w:val="5"/>
        <w:widowControl/>
        <w:shd w:val="clear" w:color="auto" w:fill="FFFFFF"/>
        <w:wordWrap/>
        <w:adjustRightInd/>
        <w:snapToGrid/>
        <w:spacing w:before="0" w:after="0" w:line="540" w:lineRule="exact"/>
        <w:ind w:left="0" w:leftChars="0" w:right="0" w:firstLine="0" w:firstLineChars="0"/>
        <w:jc w:val="center"/>
        <w:textAlignment w:val="auto"/>
        <w:outlineLvl w:val="9"/>
        <w:rPr>
          <w:rFonts w:hint="eastAsia" w:ascii="仿宋_GB2312" w:eastAsia="仿宋_GB2312"/>
          <w:sz w:val="32"/>
          <w:lang w:val="en-US" w:eastAsia="zh-CN"/>
        </w:rPr>
      </w:pPr>
      <w:r>
        <w:rPr>
          <w:rFonts w:hint="eastAsia" w:ascii="仿宋_GB2312" w:eastAsia="仿宋_GB2312"/>
          <w:sz w:val="32"/>
          <w:lang w:val="en-US" w:eastAsia="zh-CN"/>
        </w:rPr>
        <w:t>共青团中山大学委员会</w:t>
      </w:r>
    </w:p>
    <w:p>
      <w:pPr>
        <w:pStyle w:val="5"/>
        <w:widowControl/>
        <w:shd w:val="clear" w:color="auto" w:fill="FFFFFF"/>
        <w:wordWrap/>
        <w:adjustRightInd/>
        <w:snapToGrid/>
        <w:spacing w:before="0" w:after="0" w:line="540" w:lineRule="exact"/>
        <w:ind w:left="0" w:leftChars="0" w:right="0" w:firstLine="0" w:firstLineChars="0"/>
        <w:jc w:val="center"/>
        <w:textAlignment w:val="auto"/>
        <w:outlineLvl w:val="9"/>
        <w:rPr>
          <w:rFonts w:hint="eastAsia" w:ascii="仿宋_GB2312" w:eastAsia="仿宋_GB2312"/>
          <w:sz w:val="32"/>
          <w:lang w:val="en-US" w:eastAsia="zh-CN"/>
        </w:rPr>
      </w:pPr>
    </w:p>
    <w:p>
      <w:pPr>
        <w:pStyle w:val="5"/>
        <w:widowControl/>
        <w:shd w:val="clear" w:color="auto" w:fill="FFFFFF"/>
        <w:wordWrap/>
        <w:adjustRightInd/>
        <w:snapToGrid/>
        <w:spacing w:before="0" w:after="0" w:line="540" w:lineRule="exact"/>
        <w:ind w:left="0" w:leftChars="0" w:right="0" w:firstLine="0" w:firstLineChars="0"/>
        <w:textAlignment w:val="auto"/>
        <w:outlineLvl w:val="9"/>
        <w:rPr>
          <w:rFonts w:ascii="仿宋_GB2312" w:eastAsia="仿宋_GB2312"/>
          <w:sz w:val="32"/>
        </w:rPr>
      </w:pPr>
      <w:r>
        <w:rPr>
          <w:rFonts w:hint="eastAsia" w:ascii="仿宋_GB2312" w:eastAsia="仿宋_GB2312"/>
          <w:sz w:val="32"/>
          <w:lang w:val="en-US" w:eastAsia="zh-CN"/>
        </w:rPr>
        <w:t xml:space="preserve">    </w:t>
      </w:r>
      <w:r>
        <w:rPr>
          <w:rFonts w:hint="eastAsia" w:ascii="仿宋_GB2312" w:eastAsia="仿宋_GB2312"/>
          <w:sz w:val="32"/>
        </w:rPr>
        <w:t>中山大学“青马工程·中大100”工作启动以来，得到了学校党委、团省委的高度重视，学校专门成立了领导小组，每年划拨专项经费，用于我校“青马工程</w:t>
      </w:r>
      <w:r>
        <w:rPr>
          <w:rFonts w:hint="eastAsia" w:ascii="宋体" w:hAnsi="宋体" w:eastAsia="宋体" w:cs="宋体"/>
          <w:sz w:val="32"/>
        </w:rPr>
        <w:t>•</w:t>
      </w:r>
      <w:r>
        <w:rPr>
          <w:rFonts w:hint="eastAsia" w:ascii="仿宋_GB2312" w:eastAsia="仿宋_GB2312"/>
          <w:sz w:val="32"/>
        </w:rPr>
        <w:t>精英计划”的实施。我校青马工程·中大100已经圆满培养了4期学员，具有显著的成果，也培养了一批优秀的青年马克思主义者。青马工程通过教育培训和实践锻炼等行之有效的方式，进行人才选拔和骨干教育，为中国特色社会主义事业培养合格建设者和可靠接班人，使高校青年马克思主义者培养上升到了一个专业性的层次。经过四年的探索，在取得一定成绩的同时，我们对“青马工程”的实施进行总结和探寻。通过在同学中发放调查问卷和访谈，主要</w:t>
      </w:r>
      <w:r>
        <w:rPr>
          <w:rFonts w:ascii="仿宋_GB2312" w:eastAsia="仿宋_GB2312"/>
          <w:sz w:val="32"/>
        </w:rPr>
        <w:t>对</w:t>
      </w:r>
      <w:r>
        <w:rPr>
          <w:rFonts w:hint="eastAsia" w:ascii="仿宋_GB2312" w:eastAsia="仿宋_GB2312"/>
          <w:sz w:val="32"/>
        </w:rPr>
        <w:t>“</w:t>
      </w:r>
      <w:r>
        <w:rPr>
          <w:rFonts w:ascii="仿宋_GB2312" w:eastAsia="仿宋_GB2312"/>
          <w:sz w:val="32"/>
        </w:rPr>
        <w:t>青马工程</w:t>
      </w:r>
      <w:r>
        <w:rPr>
          <w:rFonts w:hint="eastAsia" w:ascii="仿宋_GB2312" w:eastAsia="仿宋_GB2312"/>
          <w:sz w:val="32"/>
        </w:rPr>
        <w:t>”</w:t>
      </w:r>
      <w:r>
        <w:rPr>
          <w:rFonts w:ascii="仿宋_GB2312" w:eastAsia="仿宋_GB2312"/>
          <w:sz w:val="32"/>
        </w:rPr>
        <w:t>的认知、</w:t>
      </w:r>
      <w:r>
        <w:rPr>
          <w:rFonts w:hint="eastAsia" w:ascii="仿宋_GB2312" w:eastAsia="仿宋_GB2312"/>
          <w:sz w:val="32"/>
        </w:rPr>
        <w:t>对“</w:t>
      </w:r>
      <w:r>
        <w:rPr>
          <w:rFonts w:ascii="仿宋_GB2312" w:eastAsia="仿宋_GB2312"/>
          <w:sz w:val="32"/>
        </w:rPr>
        <w:t>青马工程</w:t>
      </w:r>
      <w:r>
        <w:rPr>
          <w:rFonts w:hint="eastAsia" w:ascii="仿宋_GB2312" w:eastAsia="仿宋_GB2312"/>
          <w:sz w:val="32"/>
        </w:rPr>
        <w:t>”</w:t>
      </w:r>
      <w:r>
        <w:rPr>
          <w:rFonts w:ascii="仿宋_GB2312" w:eastAsia="仿宋_GB2312"/>
          <w:sz w:val="32"/>
        </w:rPr>
        <w:t>的参与状况、对</w:t>
      </w:r>
      <w:r>
        <w:rPr>
          <w:rFonts w:hint="eastAsia" w:ascii="仿宋_GB2312" w:eastAsia="仿宋_GB2312"/>
          <w:sz w:val="32"/>
        </w:rPr>
        <w:t>“</w:t>
      </w:r>
      <w:r>
        <w:rPr>
          <w:rFonts w:ascii="仿宋_GB2312" w:eastAsia="仿宋_GB2312"/>
          <w:sz w:val="32"/>
        </w:rPr>
        <w:t>青马工程</w:t>
      </w:r>
      <w:r>
        <w:rPr>
          <w:rFonts w:hint="eastAsia" w:ascii="仿宋_GB2312" w:eastAsia="仿宋_GB2312"/>
          <w:sz w:val="32"/>
        </w:rPr>
        <w:t>”</w:t>
      </w:r>
      <w:r>
        <w:rPr>
          <w:rFonts w:ascii="仿宋_GB2312" w:eastAsia="仿宋_GB2312"/>
          <w:sz w:val="32"/>
        </w:rPr>
        <w:t>的评价以及对马列主义的学习与认同情况等</w:t>
      </w:r>
      <w:r>
        <w:rPr>
          <w:rFonts w:hint="eastAsia" w:ascii="仿宋_GB2312" w:eastAsia="仿宋_GB2312"/>
          <w:sz w:val="32"/>
        </w:rPr>
        <w:t>情况做了解，希望掌握青马工程实施效果和今后的方向。通过调查，我们发现，青马工程开展的社会实践、讲座内容、活动资源、师资力量等方面还是深受青马班同学们肯定，但是在普通同学当中的宣传力度、班级活力、凝聚力、品牌度等方面还有所欠缺，传承性和凝聚力不够，青马工程品牌尚未深入人心。大部分普通同学并不清楚青马班，甚至认为青马班是学校党委组织部门开展的活动。</w:t>
      </w:r>
    </w:p>
    <w:p>
      <w:pPr>
        <w:widowControl/>
        <w:shd w:val="clear" w:color="auto" w:fill="FFFFFF"/>
        <w:wordWrap/>
        <w:adjustRightInd/>
        <w:snapToGrid/>
        <w:spacing w:before="0" w:after="0" w:line="540" w:lineRule="exact"/>
        <w:ind w:left="0" w:leftChars="0" w:right="0" w:firstLine="645"/>
        <w:textAlignment w:val="auto"/>
        <w:outlineLvl w:val="9"/>
        <w:rPr>
          <w:rFonts w:hint="eastAsia" w:ascii="仿宋_GB2312" w:eastAsia="仿宋_GB2312"/>
          <w:sz w:val="32"/>
        </w:rPr>
      </w:pPr>
      <w:r>
        <w:rPr>
          <w:rFonts w:hint="eastAsia" w:ascii="仿宋_GB2312" w:eastAsia="仿宋_GB2312"/>
          <w:sz w:val="32"/>
        </w:rPr>
        <w:t>针对目前存在的问题和时代发展面临的挑战，青马工程的培养到了思考改革的阶段，目前我们提出一些新的思路和想法：</w:t>
      </w:r>
    </w:p>
    <w:p>
      <w:pPr>
        <w:wordWrap/>
        <w:adjustRightInd/>
        <w:snapToGrid/>
        <w:spacing w:before="0" w:after="0" w:line="540" w:lineRule="exact"/>
        <w:ind w:left="0" w:leftChars="0" w:right="0" w:firstLine="640" w:firstLineChars="200"/>
        <w:textAlignment w:val="auto"/>
        <w:outlineLvl w:val="9"/>
        <w:rPr>
          <w:rFonts w:ascii="仿宋_GB2312" w:eastAsia="仿宋_GB2312"/>
          <w:sz w:val="32"/>
        </w:rPr>
      </w:pPr>
      <w:r>
        <w:rPr>
          <w:rFonts w:hint="eastAsia" w:ascii="仿宋_GB2312" w:eastAsia="仿宋_GB2312"/>
          <w:sz w:val="32"/>
        </w:rPr>
        <w:t>1、制定完全学分制的培养方案，建立以校团委集中培养为核心，各校区青马班自主管理为辅助的管理培养体制。学校的体量很大，校区也比较分散，集中培养的实行目前遇到一定瓶颈，如何能在集中培养的基础上增加培养的灵活性，又不失培养的效果，这是第五届青马班准备探索的课题。目前我们希望试行完全学分制的教学管理模式，学员在规定时间内，修满规定的学分，学分中包括必修和选修，修满规定的学分达到培养目标者，即获得结业资格，准予结业。我们充分考虑学生的校区分离，课程安排冲突等客观情况，部分学员确实无法参与到每次青马班的培养，将培养中心适度下移，加大分级培养思路，将培养方案特色化，自主化，以总分结合的方式在整个中山大学培养方案下建立四校区培养方案。形成以校团委指导为核心，各校区青马班自主管理的培养体制。</w:t>
      </w:r>
    </w:p>
    <w:p>
      <w:pPr>
        <w:wordWrap/>
        <w:adjustRightInd/>
        <w:snapToGrid/>
        <w:spacing w:before="0" w:after="0" w:line="540" w:lineRule="exact"/>
        <w:ind w:left="0" w:leftChars="0" w:right="0" w:firstLine="640" w:firstLineChars="200"/>
        <w:textAlignment w:val="auto"/>
        <w:outlineLvl w:val="9"/>
        <w:rPr>
          <w:rFonts w:hint="eastAsia" w:ascii="仿宋_GB2312" w:eastAsia="仿宋_GB2312"/>
          <w:sz w:val="32"/>
        </w:rPr>
      </w:pPr>
      <w:r>
        <w:rPr>
          <w:rFonts w:hint="eastAsia" w:ascii="仿宋_GB2312" w:eastAsia="仿宋_GB2312"/>
          <w:sz w:val="32"/>
        </w:rPr>
        <w:t>2、充分发挥校级、校区、院系等各层级的能动性和充分挖掘学校资源，制定有总有分的各校区培养特色。比如珠海校区，远离其他三个校区，如果每次都集中回到南校参与培养，时间成本和金钱成本都很高，而校区本身也有很多资源和特色，比如珠海校区这学期开展“全球观.新视野”系列讲坛，校团委规定其中部分系列讲座纳入青马班的培养内容，要求青马班学员积极参与其中，校区给予参加的同学学分认证；再如，珠海校区对口援建珠海市乾雾镇新村，珠海校区青马班同学可以充分利用地理位置，积极开展社会调研和志愿服务，作为校区的培养内容之一，这样既充分利用资源，节约成本，也可以达到培养目的，更加利于四校区青马班同学互相的学习和交流</w:t>
      </w:r>
      <w:r>
        <w:rPr>
          <w:rFonts w:hint="eastAsia" w:ascii="仿宋_GB2312" w:hAnsi="宋体" w:eastAsia="仿宋_GB2312"/>
          <w:sz w:val="28"/>
          <w:szCs w:val="28"/>
        </w:rPr>
        <w:t>。</w:t>
      </w:r>
    </w:p>
    <w:p>
      <w:pPr>
        <w:wordWrap/>
        <w:adjustRightInd/>
        <w:snapToGrid/>
        <w:spacing w:before="0" w:after="0" w:line="540" w:lineRule="exact"/>
        <w:ind w:left="0" w:leftChars="0" w:right="0" w:firstLine="640" w:firstLineChars="200"/>
        <w:textAlignment w:val="auto"/>
        <w:outlineLvl w:val="9"/>
        <w:rPr>
          <w:rFonts w:hint="eastAsia" w:ascii="仿宋_GB2312" w:eastAsia="仿宋_GB2312"/>
          <w:sz w:val="32"/>
        </w:rPr>
      </w:pPr>
      <w:r>
        <w:rPr>
          <w:rFonts w:hint="eastAsia" w:ascii="仿宋_GB2312" w:eastAsia="仿宋_GB2312"/>
          <w:sz w:val="32"/>
        </w:rPr>
        <w:t>3、探索新的培养周期。增设培养过渡期，逐步建立短期培养和长效发展的内在自动自觉的培养机制。目前，“青马工程”在各个高校的开展以每届持续一年的周期，中山大学的培养周期是从每年9月份启动招新，来年9月结业，完成寒暑假两次集中实践活动，而存在的新问题是新的青马班学员和往届青马学员的沟通和交流容易割裂，传承不够，影响了后续青马班的培养，我们希望通过机制上的改变，在一年期的结束后增加2个月的过渡期，这2个月内由青马班带领新一届青马班组建班委，组织沟通交流，协助制定培养方案等，加大传帮带的效果，增强凝聚力。</w:t>
      </w:r>
    </w:p>
    <w:p>
      <w:pPr>
        <w:wordWrap/>
        <w:adjustRightInd/>
        <w:snapToGrid/>
        <w:spacing w:before="0" w:after="0" w:line="540" w:lineRule="exact"/>
        <w:ind w:left="0" w:leftChars="0" w:right="0" w:firstLine="640" w:firstLineChars="200"/>
        <w:textAlignment w:val="auto"/>
        <w:outlineLvl w:val="9"/>
        <w:rPr>
          <w:rFonts w:hint="eastAsia" w:ascii="仿宋_GB2312" w:eastAsia="仿宋_GB2312"/>
          <w:sz w:val="32"/>
        </w:rPr>
      </w:pPr>
      <w:r>
        <w:rPr>
          <w:rFonts w:hint="eastAsia" w:ascii="仿宋_GB2312" w:eastAsia="仿宋_GB2312"/>
          <w:sz w:val="32"/>
        </w:rPr>
        <w:t>4、让同学参与制定培养方案，加大青马班的培养自主性。青马班的培养方案一直是由学校团委来牵头，组织马克思主义研究院、教育学院等导师队伍开展系列讲座，开展系列的社会实践，这样的培养方案比较单向，我们希望加强学生的自主培养性，听取学生的需求和兴趣所在，激发同学们的学习兴趣，让马克思主义理论“接地气</w:t>
      </w:r>
      <w:r>
        <w:rPr>
          <w:rFonts w:ascii="仿宋_GB2312" w:eastAsia="仿宋_GB2312"/>
          <w:sz w:val="32"/>
        </w:rPr>
        <w:t>”</w:t>
      </w:r>
      <w:r>
        <w:rPr>
          <w:rFonts w:hint="eastAsia" w:ascii="仿宋_GB2312" w:eastAsia="仿宋_GB2312"/>
          <w:sz w:val="32"/>
        </w:rPr>
        <w:t>。青马班的同学招募的都是非常优秀的学生，有着积极进取之心，对马克思主义理论联系实际有着强烈的学习需求，在目前学生自主性日益强烈的阶段，我们希望更多听取学生的需求，发挥同学们的主动性，在团委和各指导部门的引导下，在每一学期开学前，讨论和青马班同学一起讨论制定下一学期的培养方案，丰富每一期的培养方案，挖掘新的培养形式，也让每一届青马班的培养在总体培养的框架下更具特色和学生的自主性。</w:t>
      </w:r>
    </w:p>
    <w:p>
      <w:pPr>
        <w:wordWrap/>
        <w:adjustRightInd/>
        <w:snapToGrid/>
        <w:spacing w:before="0" w:after="0" w:line="540" w:lineRule="exact"/>
        <w:ind w:left="0" w:leftChars="0" w:right="0" w:firstLine="640" w:firstLineChars="200"/>
        <w:textAlignment w:val="auto"/>
        <w:outlineLvl w:val="9"/>
        <w:rPr>
          <w:rFonts w:ascii="仿宋_GB2312" w:eastAsia="仿宋_GB2312"/>
          <w:sz w:val="32"/>
        </w:rPr>
      </w:pPr>
      <w:r>
        <w:rPr>
          <w:rFonts w:hint="eastAsia" w:ascii="仿宋_GB2312" w:eastAsia="仿宋_GB2312"/>
          <w:sz w:val="32"/>
        </w:rPr>
        <w:t>5、发挥社团资源，扩充导师队伍，加大坚持理论框架训练与能力结构训练相结合。按照青马班的培养目的和理念，青马班同学需要得到以马克思理论知识为核心的，以各方面综合培养为目的的培养目标，我们在此试图整合学校内部社团资源来实施社团联合培养，加强青马工程学员的文化建设。同时在已有的青马工程师资力量的基础上，补充优秀的青年教师和优秀辅导员加入经师人师队伍，作为青马班兼职指导老师，扩充师资力量，拓宽各种社会实践的渠道。</w:t>
      </w:r>
    </w:p>
    <w:p>
      <w:pPr>
        <w:wordWrap/>
        <w:adjustRightInd/>
        <w:snapToGrid/>
        <w:spacing w:before="0" w:after="0" w:line="540" w:lineRule="exact"/>
        <w:ind w:left="0" w:leftChars="0" w:right="0" w:firstLine="640" w:firstLineChars="200"/>
        <w:textAlignment w:val="auto"/>
        <w:outlineLvl w:val="9"/>
        <w:rPr>
          <w:rFonts w:ascii="仿宋_GB2312" w:eastAsia="仿宋_GB2312"/>
          <w:sz w:val="32"/>
        </w:rPr>
      </w:pPr>
      <w:r>
        <w:rPr>
          <w:rFonts w:hint="eastAsia" w:ascii="仿宋_GB2312" w:eastAsia="仿宋_GB2312"/>
          <w:sz w:val="32"/>
        </w:rPr>
        <w:t>6、完善就业辅导机制，在已有的量化考评的基础上建立“成长轨迹”。“青马工程”是一项长期的工作，不因为培训结业而停止，培养青年马克思主义者，不仅要关注他们在大学中个人能力和专业知识的培养，更要把目光放长远，关注到他们未来的职业发展，为青马学员提供必要的帮助，推动其向社会的关键领域迈进。为此，“青马工程”可以建立一套对青马学员的成长历程进行长效、动态的跟踪，以便了解“青马工程”的实施对青马学子的长远影响，更好地关注青年成长。</w:t>
      </w:r>
    </w:p>
    <w:p>
      <w:pPr>
        <w:wordWrap/>
        <w:adjustRightInd/>
        <w:snapToGrid/>
        <w:spacing w:before="0" w:after="0" w:line="540" w:lineRule="exact"/>
        <w:ind w:left="0" w:leftChars="0" w:right="0" w:firstLine="640" w:firstLineChars="200"/>
        <w:textAlignment w:val="auto"/>
        <w:outlineLvl w:val="9"/>
        <w:rPr>
          <w:rFonts w:ascii="仿宋_GB2312" w:eastAsia="仿宋_GB2312"/>
          <w:sz w:val="32"/>
        </w:rPr>
      </w:pPr>
      <w:r>
        <w:rPr>
          <w:rFonts w:hint="eastAsia" w:ascii="仿宋_GB2312" w:eastAsia="仿宋_GB2312"/>
          <w:sz w:val="32"/>
        </w:rPr>
        <w:t>7、创建青马工程新媒体平台，把握好传统媒介与新媒体相结合的教学方式和宣传手段。加大新媒体平台在青马班的使用，打造青马品牌活动，与时俱进的丰富青马双网学习平台和网络宣传阵地，扩大青马班的影响力。利用专题网站，开展理论学习，向培养对象提供理论知识讲堂视频及课件、专题讲座视频、好书推荐专栏等。建立青马工程微信公众平台，丰富青马工程掌上学习渠道，让青马学员充分利用</w:t>
      </w:r>
      <w:r>
        <w:rPr>
          <w:rFonts w:ascii="仿宋_GB2312" w:eastAsia="仿宋_GB2312"/>
          <w:sz w:val="32"/>
        </w:rPr>
        <w:t>新媒体</w:t>
      </w:r>
      <w:r>
        <w:rPr>
          <w:rFonts w:hint="eastAsia" w:ascii="仿宋_GB2312" w:eastAsia="仿宋_GB2312"/>
          <w:sz w:val="32"/>
        </w:rPr>
        <w:t>学习传播</w:t>
      </w:r>
      <w:r>
        <w:rPr>
          <w:rFonts w:ascii="仿宋_GB2312" w:eastAsia="仿宋_GB2312"/>
          <w:sz w:val="32"/>
        </w:rPr>
        <w:t>的平台，形成全方位立体式</w:t>
      </w:r>
      <w:r>
        <w:rPr>
          <w:rFonts w:hint="eastAsia" w:ascii="仿宋_GB2312" w:eastAsia="仿宋_GB2312"/>
          <w:sz w:val="32"/>
        </w:rPr>
        <w:t>学习传播，以达到更好的学习效果。</w:t>
      </w:r>
      <w:r>
        <w:rPr>
          <w:rFonts w:ascii="仿宋_GB2312" w:eastAsia="仿宋_GB2312"/>
          <w:sz w:val="32"/>
        </w:rPr>
        <w:t xml:space="preserve"> </w:t>
      </w:r>
    </w:p>
    <w:p>
      <w:pPr>
        <w:wordWrap/>
        <w:adjustRightInd/>
        <w:snapToGrid/>
        <w:spacing w:before="0" w:after="0" w:line="540" w:lineRule="exact"/>
        <w:ind w:left="0" w:leftChars="0" w:right="0"/>
        <w:textAlignment w:val="auto"/>
        <w:outlineLvl w:val="9"/>
        <w:rPr>
          <w:sz w:val="28"/>
          <w:szCs w:val="28"/>
        </w:rPr>
      </w:pPr>
      <w:bookmarkStart w:id="0" w:name="_GoBack"/>
      <w:bookmarkEnd w:id="0"/>
    </w:p>
    <w:sectPr>
      <w:headerReference r:id="rId4" w:type="default"/>
      <w:footerReference r:id="rId5" w:type="default"/>
      <w:pgSz w:w="11906" w:h="16838"/>
      <w:pgMar w:top="1440" w:right="1587" w:bottom="1440" w:left="1587" w:header="851" w:footer="992" w:gutter="0"/>
      <w:paperSrc w:first="0" w:oth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AdobeSongStd-Light">
    <w:altName w:val="宋体"/>
    <w:panose1 w:val="00000000000000000000"/>
    <w:charset w:val="86"/>
    <w:family w:val="auto"/>
    <w:pitch w:val="default"/>
    <w:sig w:usb0="00000001" w:usb1="080E0000" w:usb2="00000010" w:usb3="00000000" w:csb0="00040000" w:csb1="00000000"/>
  </w:font>
  <w:font w:name="仿宋_GB2312">
    <w:panose1 w:val="02010609030101010101"/>
    <w:charset w:val="86"/>
    <w:family w:val="auto"/>
    <w:pitch w:val="default"/>
    <w:sig w:usb0="00000001" w:usb1="080E0000" w:usb2="00000000" w:usb3="00000000" w:csb0="00040000" w:csb1="00000000"/>
  </w:font>
  <w:font w:name="DLF-0-261-1632655469+ZFEDoG-10">
    <w:altName w:val="宋体"/>
    <w:panose1 w:val="00000000000000000000"/>
    <w:charset w:val="86"/>
    <w:family w:val="auto"/>
    <w:pitch w:val="default"/>
    <w:sig w:usb0="00000001" w:usb1="080E0000" w:usb2="00000010" w:usb3="00000000" w:csb0="00040000" w:csb1="00000000"/>
  </w:font>
  <w:font w:name="Courier+ZFEDoB-1">
    <w:altName w:val="宋体"/>
    <w:panose1 w:val="00000000000000000000"/>
    <w:charset w:val="86"/>
    <w:family w:val="auto"/>
    <w:pitch w:val="default"/>
    <w:sig w:usb0="00000001" w:usb1="080E0000" w:usb2="00000010" w:usb3="00000000" w:csb0="00040000" w:csb1="00000000"/>
  </w:font>
  <w:font w:name="Verdana">
    <w:panose1 w:val="020B0604030504040204"/>
    <w:charset w:val="00"/>
    <w:family w:val="auto"/>
    <w:pitch w:val="default"/>
    <w:sig w:usb0="A10006FF" w:usb1="4000205B" w:usb2="00000010" w:usb3="00000000" w:csb0="2000019F" w:csb1="00000000"/>
  </w:font>
  <w:font w:name="新宋体">
    <w:panose1 w:val="02010609030101010101"/>
    <w:charset w:val="86"/>
    <w:family w:val="auto"/>
    <w:pitch w:val="default"/>
    <w:sig w:usb0="00000003" w:usb1="288F0000" w:usb2="00000006" w:usb3="00000000" w:csb0="00040001" w:csb1="00000000"/>
  </w:font>
  <w:font w:name="Cambria">
    <w:panose1 w:val="02040503050406030204"/>
    <w:charset w:val="00"/>
    <w:family w:val="auto"/>
    <w:pitch w:val="default"/>
    <w:sig w:usb0="E00002FF" w:usb1="400004FF" w:usb2="00000000" w:usb3="00000000" w:csb0="2000019F" w:csb1="00000000"/>
  </w:font>
  <w:font w:name="Adobe Myungjo Std M">
    <w:panose1 w:val="02020600000000000000"/>
    <w:charset w:val="80"/>
    <w:family w:val="auto"/>
    <w:pitch w:val="default"/>
    <w:sig w:usb0="800002A7" w:usb1="29D7FCFB" w:usb2="00000010" w:usb3="00000000" w:csb0="402A0005" w:csb1="00000000"/>
  </w:font>
  <w:font w:name="楷体_GB2312">
    <w:panose1 w:val="02010609030101010101"/>
    <w:charset w:val="86"/>
    <w:family w:val="modern"/>
    <w:pitch w:val="default"/>
    <w:sig w:usb0="00000001" w:usb1="080E0000" w:usb2="00000000" w:usb3="00000000" w:csb0="00040000" w:csb1="00000000"/>
  </w:font>
  <w:font w:name="华文新魏">
    <w:altName w:val="宋体"/>
    <w:panose1 w:val="02010800040101010101"/>
    <w:charset w:val="86"/>
    <w:family w:val="auto"/>
    <w:pitch w:val="default"/>
    <w:sig w:usb0="00000001" w:usb1="080F0000" w:usb2="00000010" w:usb3="00000000" w:csb0="00040000"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 w:name="华文楷体">
    <w:altName w:val="楷体_GB2312"/>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方正小标宋_GBK">
    <w:altName w:val="黑体"/>
    <w:panose1 w:val="03000509000000000000"/>
    <w:charset w:val="86"/>
    <w:family w:val="script"/>
    <w:pitch w:val="default"/>
    <w:sig w:usb0="00000001" w:usb1="080E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Dotum">
    <w:panose1 w:val="020B0600000101010101"/>
    <w:charset w:val="81"/>
    <w:family w:val="swiss"/>
    <w:pitch w:val="default"/>
    <w:sig w:usb0="B00002AF" w:usb1="69D77CFB" w:usb2="00000030" w:usb3="00000000" w:csb0="4008009F" w:csb1="DFD70000"/>
  </w:font>
  <w:font w:name="方正仿宋_GBK">
    <w:altName w:val="黑体"/>
    <w:panose1 w:val="03000509000000000000"/>
    <w:charset w:val="86"/>
    <w:family w:val="script"/>
    <w:pitch w:val="default"/>
    <w:sig w:usb0="00000001" w:usb1="080E0000" w:usb2="00000010" w:usb3="00000000" w:csb0="00040000" w:csb1="00000000"/>
  </w:font>
  <w:font w:name="方正黑体_GBK">
    <w:altName w:val="黑体"/>
    <w:panose1 w:val="03000509000000000000"/>
    <w:charset w:val="86"/>
    <w:family w:val="script"/>
    <w:pitch w:val="default"/>
    <w:sig w:usb0="00000001" w:usb1="080E0000" w:usb2="00000010" w:usb3="00000000" w:csb0="00040000" w:csb1="00000000"/>
  </w:font>
  <w:font w:name="Bookshelf Symbol 7">
    <w:altName w:val="Symbol"/>
    <w:panose1 w:val="05010101010101010101"/>
    <w:charset w:val="02"/>
    <w:family w:val="auto"/>
    <w:pitch w:val="default"/>
    <w:sig w:usb0="00000000" w:usb1="00000000" w:usb2="00000000" w:usb3="00000000" w:csb0="80000000" w:csb1="00000000"/>
  </w:font>
  <w:font w:name="Wingdings 2">
    <w:altName w:val="Wingdings"/>
    <w:panose1 w:val="05020102010507070707"/>
    <w:charset w:val="02"/>
    <w:family w:val="auto"/>
    <w:pitch w:val="default"/>
    <w:sig w:usb0="00000000" w:usb1="00000000" w:usb2="00000000" w:usb3="00000000" w:csb0="80000000" w:csb1="00000000"/>
  </w:font>
  <w:font w:name="文鼎大标宋简">
    <w:altName w:val="宋体"/>
    <w:panose1 w:val="02010609010101010101"/>
    <w:charset w:val="86"/>
    <w:family w:val="modern"/>
    <w:pitch w:val="default"/>
    <w:sig w:usb0="00000001" w:usb1="080E0000" w:usb2="00000010" w:usb3="00000000" w:csb0="00040000" w:csb1="00000000"/>
  </w:font>
  <w:font w:name="MS PMincho">
    <w:panose1 w:val="02020600040205080304"/>
    <w:charset w:val="80"/>
    <w:family w:val="auto"/>
    <w:pitch w:val="default"/>
    <w:sig w:usb0="E00002FF" w:usb1="6AC7FDFB" w:usb2="00000012" w:usb3="00000000" w:csb0="4002009F" w:csb1="DFD70000"/>
  </w:font>
  <w:font w:name="MingLiU">
    <w:panose1 w:val="02020509000000000000"/>
    <w:charset w:val="88"/>
    <w:family w:val="modern"/>
    <w:pitch w:val="default"/>
    <w:sig w:usb0="A00002FF" w:usb1="28CFFCFA" w:usb2="00000016" w:usb3="00000000" w:csb0="00100001" w:csb1="00000000"/>
  </w:font>
  <w:font w:name="DFKai-SB">
    <w:panose1 w:val="03000509000000000000"/>
    <w:charset w:val="88"/>
    <w:family w:val="script"/>
    <w:pitch w:val="default"/>
    <w:sig w:usb0="00000003" w:usb1="082E0000" w:usb2="00000016" w:usb3="00000000" w:csb0="00100001" w:csb1="00000000"/>
  </w:font>
  <w:font w:name="方正楷体简体">
    <w:altName w:val="微软雅黑"/>
    <w:panose1 w:val="03000509000000000000"/>
    <w:charset w:val="86"/>
    <w:family w:val="auto"/>
    <w:pitch w:val="default"/>
    <w:sig w:usb0="00000001" w:usb1="080E0000" w:usb2="00000010" w:usb3="00000000" w:csb0="00040000" w:csb1="00000000"/>
  </w:font>
  <w:font w:name="方正仿宋简体">
    <w:altName w:val="微软雅黑"/>
    <w:panose1 w:val="03000509000000000000"/>
    <w:charset w:val="86"/>
    <w:family w:val="auto"/>
    <w:pitch w:val="default"/>
    <w:sig w:usb0="00000001" w:usb1="080E0000" w:usb2="00000010" w:usb3="00000000" w:csb0="00040000" w:csb1="00000000"/>
  </w:font>
  <w:font w:name="PMingLiU">
    <w:panose1 w:val="02020500000000000000"/>
    <w:charset w:val="88"/>
    <w:family w:val="roman"/>
    <w:pitch w:val="default"/>
    <w:sig w:usb0="A00002FF" w:usb1="28CFFCFA" w:usb2="00000016" w:usb3="00000000" w:csb0="00100001" w:csb1="00000000"/>
  </w:font>
  <w:font w:name="Adobe 明體 Std L">
    <w:panose1 w:val="02020300000000000000"/>
    <w:charset w:val="88"/>
    <w:family w:val="auto"/>
    <w:pitch w:val="default"/>
    <w:sig w:usb0="00000001" w:usb1="1A0F1900" w:usb2="00000016" w:usb3="00000000" w:csb0="0012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pPr>
    <w:r>
      <w:rPr>
        <w:rFonts w:ascii="Calibri" w:hAnsi="Calibri" w:eastAsia="宋体" w:cs="黑体"/>
        <w:kern w:val="2"/>
        <w:sz w:val="18"/>
        <w:szCs w:val="22"/>
        <w:lang w:val="en-US" w:eastAsia="zh-CN" w:bidi="ar-SA"/>
      </w:rPr>
      <w:pict>
        <v:shape id="文本框1" o:spid="_x0000_s1025" type="#_x0000_t202" style="position:absolute;left:0;margin-top:0pt;height:144pt;width:144pt;mso-position-horizontal:center;mso-position-horizontal-relative:margin;mso-wrap-style:none;rotation:0f;z-index:251658240;"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0" w:name="header"/>
    <w:lsdException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4">
    <w:name w:val="Default Paragraph Font"/>
    <w:semiHidden/>
    <w:unhideWhenUsed/>
    <w:uiPriority w:val="1"/>
  </w:style>
  <w:style w:type="paragraph" w:styleId="2">
    <w:name w:val="footer"/>
    <w:basedOn w:val="1"/>
    <w:semiHidden/>
    <w:unhideWhenUsed/>
    <w:uiPriority w:val="0"/>
    <w:pPr>
      <w:tabs>
        <w:tab w:val="center" w:pos="4153"/>
        <w:tab w:val="right" w:pos="8306"/>
      </w:tabs>
      <w:snapToGrid w:val="0"/>
      <w:jc w:val="left"/>
    </w:pPr>
    <w:rPr>
      <w:sz w:val="18"/>
    </w:rPr>
  </w:style>
  <w:style w:type="paragraph" w:styleId="3">
    <w:name w:val="header"/>
    <w:basedOn w:val="1"/>
    <w:semiHidden/>
    <w:unhideWhenUsed/>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customStyle="1"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 Id="rId7"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Pages>
  <Words>1221</Words>
  <Characters>1222</Characters>
  <Lines>50</Lines>
  <Paragraphs>12</Paragraphs>
  <ScaleCrop>false</ScaleCrop>
  <LinksUpToDate>false</LinksUpToDate>
  <CharactersWithSpaces>0</CharactersWithSpaces>
  <Application>WPS Office 个人版_9.1.0.4429_{F1E327BC-269C-435d-A152-05C5408002CA}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2014-03-11T00:54:00Z</dcterms:created>
  <dc:creator>微软用户</dc:creator>
  <cp:lastModifiedBy>admin</cp:lastModifiedBy>
  <dcterms:modified xsi:type="dcterms:W3CDTF">2014-03-11T05:09:36Z</dcterms:modified>
  <dc:title>“青年马克思主义培养工程”创新试点工作思路</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2052-9.1.0.4429</vt:lpwstr>
  </property>
</Properties>
</file>