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spacing w:before="0" w:beforeAutospacing="0" w:after="0" w:afterAutospacing="0" w:line="520" w:lineRule="exact"/>
        <w:jc w:val="both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附件</w:t>
      </w:r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2</w:t>
      </w:r>
      <w:r>
        <w:rPr>
          <w:rFonts w:hint="eastAsia" w:ascii="仿宋_GB2312" w:eastAsia="仿宋_GB2312"/>
          <w:color w:val="000000"/>
          <w:sz w:val="28"/>
          <w:szCs w:val="28"/>
        </w:rPr>
        <w:t>：</w:t>
      </w:r>
    </w:p>
    <w:p>
      <w:pPr>
        <w:pStyle w:val="2"/>
        <w:spacing w:beforeLines="50" w:beforeAutospacing="0" w:afterLines="50" w:afterAutospacing="0" w:line="520" w:lineRule="exact"/>
        <w:jc w:val="center"/>
        <w:rPr>
          <w:rFonts w:hint="eastAsia" w:ascii="黑体" w:eastAsia="黑体"/>
          <w:color w:val="000000"/>
          <w:sz w:val="44"/>
          <w:szCs w:val="44"/>
        </w:rPr>
      </w:pPr>
      <w:r>
        <w:rPr>
          <w:rFonts w:hint="eastAsia" w:ascii="黑体" w:eastAsia="黑体"/>
          <w:color w:val="000000"/>
          <w:sz w:val="44"/>
          <w:szCs w:val="44"/>
        </w:rPr>
        <w:t>学校共青团重点工作创新试点</w:t>
      </w:r>
    </w:p>
    <w:p>
      <w:pPr>
        <w:pStyle w:val="2"/>
        <w:spacing w:before="0" w:beforeAutospacing="0" w:afterLines="50" w:afterAutospacing="0" w:line="520" w:lineRule="exact"/>
        <w:jc w:val="center"/>
        <w:rPr>
          <w:rFonts w:hint="eastAsia" w:ascii="黑体" w:eastAsia="黑体"/>
          <w:color w:val="000000"/>
          <w:sz w:val="44"/>
          <w:szCs w:val="44"/>
        </w:rPr>
      </w:pPr>
      <w:r>
        <w:rPr>
          <w:rFonts w:hint="eastAsia" w:ascii="黑体" w:eastAsia="黑体"/>
          <w:color w:val="000000"/>
          <w:sz w:val="44"/>
          <w:szCs w:val="44"/>
        </w:rPr>
        <w:t>申请单位基本信息表</w:t>
      </w:r>
    </w:p>
    <w:p>
      <w:pPr>
        <w:pStyle w:val="2"/>
        <w:spacing w:before="0" w:beforeAutospacing="0" w:afterLines="50" w:afterAutospacing="0" w:line="520" w:lineRule="exact"/>
        <w:jc w:val="both"/>
        <w:rPr>
          <w:rFonts w:hint="eastAsia" w:ascii="方正楷体简体" w:eastAsia="方正楷体简体"/>
          <w:color w:val="000000"/>
          <w:sz w:val="32"/>
          <w:szCs w:val="32"/>
        </w:rPr>
      </w:pPr>
      <w:r>
        <w:rPr>
          <w:rFonts w:hint="eastAsia" w:ascii="方正楷体简体" w:eastAsia="方正楷体简体"/>
          <w:color w:val="000000"/>
          <w:sz w:val="32"/>
          <w:szCs w:val="32"/>
        </w:rPr>
        <w:t>省份：上海市</w:t>
      </w:r>
    </w:p>
    <w:tbl>
      <w:tblPr>
        <w:tblW w:w="83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2013"/>
        <w:gridCol w:w="1991"/>
        <w:gridCol w:w="1991"/>
        <w:gridCol w:w="23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013" w:type="dxa"/>
            <w:vAlign w:val="center"/>
          </w:tcPr>
          <w:p>
            <w:pPr>
              <w:jc w:val="center"/>
              <w:rPr>
                <w:rFonts w:hint="eastAsia" w:ascii="方正楷体简体" w:eastAsia="方正楷体简体"/>
                <w:sz w:val="28"/>
                <w:szCs w:val="28"/>
              </w:rPr>
            </w:pPr>
            <w:r>
              <w:rPr>
                <w:rFonts w:hint="eastAsia" w:ascii="方正楷体简体" w:eastAsia="方正楷体简体"/>
                <w:sz w:val="28"/>
                <w:szCs w:val="28"/>
              </w:rPr>
              <w:t>单位名称</w:t>
            </w:r>
          </w:p>
        </w:tc>
        <w:tc>
          <w:tcPr>
            <w:tcW w:w="6327" w:type="dxa"/>
            <w:gridSpan w:val="3"/>
            <w:vAlign w:val="center"/>
          </w:tcPr>
          <w:p>
            <w:pPr>
              <w:jc w:val="center"/>
              <w:rPr>
                <w:rFonts w:hint="eastAsia" w:ascii="方正楷体简体" w:eastAsia="方正楷体简体"/>
                <w:sz w:val="28"/>
                <w:szCs w:val="28"/>
              </w:rPr>
            </w:pPr>
            <w:r>
              <w:rPr>
                <w:rFonts w:hint="eastAsia" w:ascii="方正楷体简体" w:eastAsia="方正楷体简体"/>
                <w:sz w:val="28"/>
                <w:szCs w:val="28"/>
              </w:rPr>
              <w:t>上海市曹杨职业技术学校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013" w:type="dxa"/>
            <w:vAlign w:val="center"/>
          </w:tcPr>
          <w:p>
            <w:pPr>
              <w:jc w:val="center"/>
              <w:rPr>
                <w:rFonts w:hint="eastAsia" w:ascii="方正楷体简体" w:eastAsia="方正楷体简体"/>
                <w:sz w:val="28"/>
                <w:szCs w:val="28"/>
              </w:rPr>
            </w:pPr>
            <w:r>
              <w:rPr>
                <w:rFonts w:hint="eastAsia" w:ascii="方正楷体简体" w:eastAsia="方正楷体简体"/>
                <w:sz w:val="28"/>
                <w:szCs w:val="28"/>
              </w:rPr>
              <w:t>单位负责人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 w:ascii="方正楷体简体" w:eastAsia="方正楷体简体"/>
                <w:sz w:val="28"/>
                <w:szCs w:val="28"/>
              </w:rPr>
            </w:pPr>
            <w:r>
              <w:rPr>
                <w:rFonts w:hint="eastAsia" w:ascii="方正楷体简体" w:eastAsia="方正楷体简体"/>
                <w:sz w:val="28"/>
                <w:szCs w:val="28"/>
              </w:rPr>
              <w:t>王茂江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 w:ascii="方正楷体简体" w:eastAsia="方正楷体简体"/>
                <w:sz w:val="28"/>
                <w:szCs w:val="28"/>
              </w:rPr>
            </w:pPr>
            <w:r>
              <w:rPr>
                <w:rFonts w:hint="eastAsia" w:ascii="方正楷体简体" w:eastAsia="方正楷体简体"/>
                <w:sz w:val="28"/>
                <w:szCs w:val="28"/>
              </w:rPr>
              <w:t>联系方</w:t>
            </w:r>
            <w:bookmarkStart w:id="0" w:name="_GoBack"/>
            <w:bookmarkEnd w:id="0"/>
            <w:r>
              <w:rPr>
                <w:rFonts w:hint="eastAsia" w:ascii="方正楷体简体" w:eastAsia="方正楷体简体"/>
                <w:sz w:val="28"/>
                <w:szCs w:val="28"/>
              </w:rPr>
              <w:t>式</w:t>
            </w:r>
          </w:p>
        </w:tc>
        <w:tc>
          <w:tcPr>
            <w:tcW w:w="2345" w:type="dxa"/>
            <w:vAlign w:val="center"/>
          </w:tcPr>
          <w:p>
            <w:pPr>
              <w:jc w:val="center"/>
              <w:rPr>
                <w:rFonts w:hint="eastAsia" w:ascii="方正楷体简体" w:eastAsia="方正楷体简体"/>
                <w:sz w:val="28"/>
                <w:szCs w:val="28"/>
              </w:rPr>
            </w:pPr>
            <w:r>
              <w:rPr>
                <w:rFonts w:hint="eastAsia" w:ascii="方正楷体简体" w:eastAsia="方正楷体简体"/>
                <w:sz w:val="28"/>
                <w:szCs w:val="28"/>
              </w:rPr>
              <w:t>52767990</w:t>
            </w:r>
          </w:p>
          <w:p>
            <w:pPr>
              <w:jc w:val="center"/>
              <w:rPr>
                <w:rFonts w:hint="eastAsia" w:ascii="方正楷体简体" w:eastAsia="方正楷体简体"/>
                <w:sz w:val="28"/>
                <w:szCs w:val="28"/>
              </w:rPr>
            </w:pPr>
            <w:r>
              <w:rPr>
                <w:rFonts w:hint="eastAsia" w:ascii="方正楷体简体" w:eastAsia="方正楷体简体"/>
                <w:sz w:val="28"/>
                <w:szCs w:val="28"/>
              </w:rPr>
              <w:t>13681685829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013" w:type="dxa"/>
            <w:vAlign w:val="center"/>
          </w:tcPr>
          <w:p>
            <w:pPr>
              <w:jc w:val="center"/>
              <w:rPr>
                <w:rFonts w:hint="eastAsia" w:ascii="方正楷体简体" w:eastAsia="方正楷体简体"/>
                <w:sz w:val="28"/>
                <w:szCs w:val="28"/>
              </w:rPr>
            </w:pPr>
            <w:r>
              <w:rPr>
                <w:rFonts w:hint="eastAsia" w:ascii="方正楷体简体" w:eastAsia="方正楷体简体"/>
                <w:sz w:val="28"/>
                <w:szCs w:val="28"/>
              </w:rPr>
              <w:t>试点内容</w:t>
            </w:r>
          </w:p>
        </w:tc>
        <w:tc>
          <w:tcPr>
            <w:tcW w:w="6327" w:type="dxa"/>
            <w:gridSpan w:val="3"/>
            <w:vAlign w:val="center"/>
          </w:tcPr>
          <w:p>
            <w:pPr>
              <w:jc w:val="center"/>
              <w:rPr>
                <w:rFonts w:hint="eastAsia" w:ascii="方正楷体简体" w:eastAsia="方正楷体简体"/>
                <w:sz w:val="28"/>
                <w:szCs w:val="28"/>
              </w:rPr>
            </w:pPr>
            <w:r>
              <w:rPr>
                <w:rFonts w:hint="eastAsia" w:ascii="方正楷体简体" w:eastAsia="方正楷体简体"/>
                <w:sz w:val="28"/>
                <w:szCs w:val="28"/>
              </w:rPr>
              <w:t>职业生涯发展规划辅导和创业就业教育及服务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146" w:hRule="atLeast"/>
        </w:trPr>
        <w:tc>
          <w:tcPr>
            <w:tcW w:w="2013" w:type="dxa"/>
            <w:vAlign w:val="center"/>
          </w:tcPr>
          <w:p>
            <w:pPr>
              <w:jc w:val="center"/>
              <w:rPr>
                <w:rFonts w:hint="eastAsia" w:ascii="方正楷体简体" w:eastAsia="方正楷体简体"/>
                <w:sz w:val="28"/>
                <w:szCs w:val="28"/>
              </w:rPr>
            </w:pPr>
            <w:r>
              <w:rPr>
                <w:rFonts w:hint="eastAsia" w:ascii="方正楷体简体" w:eastAsia="方正楷体简体"/>
                <w:sz w:val="28"/>
                <w:szCs w:val="28"/>
              </w:rPr>
              <w:t>试点基本思路</w:t>
            </w:r>
          </w:p>
          <w:p>
            <w:pPr>
              <w:jc w:val="center"/>
              <w:rPr>
                <w:rFonts w:hint="eastAsia" w:ascii="方正楷体简体" w:eastAsia="方正楷体简体"/>
                <w:sz w:val="28"/>
                <w:szCs w:val="28"/>
              </w:rPr>
            </w:pPr>
            <w:r>
              <w:rPr>
                <w:rFonts w:hint="eastAsia" w:ascii="方正楷体简体" w:eastAsia="方正楷体简体"/>
                <w:sz w:val="28"/>
                <w:szCs w:val="28"/>
              </w:rPr>
              <w:t>（请附页）</w:t>
            </w:r>
          </w:p>
        </w:tc>
        <w:tc>
          <w:tcPr>
            <w:tcW w:w="6327" w:type="dxa"/>
            <w:gridSpan w:val="3"/>
            <w:vAlign w:val="center"/>
          </w:tcPr>
          <w:p>
            <w:pPr>
              <w:jc w:val="center"/>
              <w:rPr>
                <w:rFonts w:hint="eastAsia" w:ascii="方正楷体简体" w:eastAsia="方正楷体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248" w:hRule="atLeast"/>
        </w:trPr>
        <w:tc>
          <w:tcPr>
            <w:tcW w:w="2013" w:type="dxa"/>
            <w:vAlign w:val="center"/>
          </w:tcPr>
          <w:p>
            <w:pPr>
              <w:jc w:val="center"/>
              <w:rPr>
                <w:rFonts w:hint="eastAsia" w:ascii="方正楷体简体" w:eastAsia="方正楷体简体"/>
                <w:sz w:val="28"/>
                <w:szCs w:val="28"/>
              </w:rPr>
            </w:pPr>
            <w:r>
              <w:rPr>
                <w:rFonts w:hint="eastAsia" w:ascii="方正楷体简体" w:eastAsia="方正楷体简体"/>
                <w:sz w:val="28"/>
                <w:szCs w:val="28"/>
              </w:rPr>
              <w:t>申报单位意见</w:t>
            </w:r>
          </w:p>
        </w:tc>
        <w:tc>
          <w:tcPr>
            <w:tcW w:w="6327" w:type="dxa"/>
            <w:gridSpan w:val="3"/>
            <w:vAlign w:val="center"/>
          </w:tcPr>
          <w:p>
            <w:pPr>
              <w:ind w:firstLine="560" w:firstLineChars="200"/>
              <w:rPr>
                <w:rFonts w:hint="eastAsia" w:ascii="方正楷体简体" w:eastAsia="方正楷体简体"/>
                <w:sz w:val="28"/>
                <w:szCs w:val="28"/>
              </w:rPr>
            </w:pPr>
            <w:r>
              <w:rPr>
                <w:rFonts w:hint="eastAsia" w:ascii="方正楷体简体" w:eastAsia="方正楷体简体"/>
                <w:sz w:val="28"/>
                <w:szCs w:val="28"/>
              </w:rPr>
              <w:t>同意</w:t>
            </w:r>
          </w:p>
          <w:p>
            <w:pPr>
              <w:jc w:val="center"/>
              <w:rPr>
                <w:rFonts w:hint="eastAsia" w:ascii="方正楷体简体" w:eastAsia="方正楷体简体"/>
                <w:sz w:val="28"/>
                <w:szCs w:val="28"/>
              </w:rPr>
            </w:pPr>
            <w:r>
              <w:rPr>
                <w:rFonts w:hint="eastAsia" w:ascii="方正楷体简体" w:eastAsia="方正楷体简体"/>
                <w:sz w:val="28"/>
                <w:szCs w:val="28"/>
              </w:rPr>
              <w:t xml:space="preserve">                （盖章）</w:t>
            </w:r>
          </w:p>
          <w:p>
            <w:pPr>
              <w:ind w:firstLine="3080" w:firstLineChars="1100"/>
              <w:rPr>
                <w:rFonts w:hint="eastAsia" w:ascii="方正楷体简体" w:eastAsia="方正楷体简体"/>
                <w:sz w:val="28"/>
                <w:szCs w:val="28"/>
              </w:rPr>
            </w:pPr>
            <w:r>
              <w:rPr>
                <w:rFonts w:hint="eastAsia" w:ascii="方正楷体简体" w:eastAsia="方正楷体简体"/>
                <w:sz w:val="28"/>
                <w:szCs w:val="28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389" w:hRule="atLeast"/>
        </w:trPr>
        <w:tc>
          <w:tcPr>
            <w:tcW w:w="2013" w:type="dxa"/>
            <w:vAlign w:val="center"/>
          </w:tcPr>
          <w:p>
            <w:pPr>
              <w:jc w:val="center"/>
              <w:rPr>
                <w:rFonts w:hint="eastAsia" w:ascii="方正楷体简体" w:eastAsia="方正楷体简体"/>
                <w:sz w:val="28"/>
                <w:szCs w:val="28"/>
              </w:rPr>
            </w:pPr>
            <w:r>
              <w:rPr>
                <w:rFonts w:hint="eastAsia" w:ascii="方正楷体简体" w:eastAsia="方正楷体简体"/>
                <w:sz w:val="28"/>
                <w:szCs w:val="28"/>
              </w:rPr>
              <w:t>区（县）、高校团委意见</w:t>
            </w:r>
          </w:p>
        </w:tc>
        <w:tc>
          <w:tcPr>
            <w:tcW w:w="6327" w:type="dxa"/>
            <w:gridSpan w:val="3"/>
            <w:vAlign w:val="center"/>
          </w:tcPr>
          <w:p>
            <w:pPr>
              <w:jc w:val="center"/>
              <w:rPr>
                <w:rFonts w:hint="eastAsia" w:ascii="方正楷体简体" w:eastAsia="方正楷体简体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方正楷体简体" w:eastAsia="方正楷体简体"/>
                <w:sz w:val="28"/>
                <w:szCs w:val="28"/>
              </w:rPr>
            </w:pPr>
            <w:r>
              <w:rPr>
                <w:rFonts w:hint="eastAsia" w:ascii="方正楷体简体" w:eastAsia="方正楷体简体"/>
                <w:sz w:val="28"/>
                <w:szCs w:val="28"/>
              </w:rPr>
              <w:t xml:space="preserve">                  （盖章）</w:t>
            </w:r>
          </w:p>
          <w:p>
            <w:pPr>
              <w:jc w:val="center"/>
              <w:rPr>
                <w:rFonts w:hint="eastAsia" w:ascii="方正楷体简体" w:eastAsia="方正楷体简体"/>
                <w:sz w:val="28"/>
                <w:szCs w:val="28"/>
              </w:rPr>
            </w:pPr>
            <w:r>
              <w:rPr>
                <w:rFonts w:hint="eastAsia" w:ascii="方正楷体简体" w:eastAsia="方正楷体简体"/>
                <w:sz w:val="28"/>
                <w:szCs w:val="28"/>
              </w:rPr>
              <w:t xml:space="preserve">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013" w:type="dxa"/>
            <w:vAlign w:val="center"/>
          </w:tcPr>
          <w:p>
            <w:pPr>
              <w:jc w:val="center"/>
              <w:rPr>
                <w:rFonts w:hint="eastAsia" w:ascii="方正楷体简体" w:eastAsia="方正楷体简体"/>
                <w:sz w:val="28"/>
                <w:szCs w:val="28"/>
              </w:rPr>
            </w:pPr>
            <w:r>
              <w:rPr>
                <w:rFonts w:hint="eastAsia" w:ascii="方正楷体简体" w:eastAsia="方正楷体简体"/>
                <w:sz w:val="28"/>
                <w:szCs w:val="28"/>
              </w:rPr>
              <w:t>备注</w:t>
            </w:r>
          </w:p>
        </w:tc>
        <w:tc>
          <w:tcPr>
            <w:tcW w:w="6327" w:type="dxa"/>
            <w:gridSpan w:val="3"/>
            <w:vAlign w:val="center"/>
          </w:tcPr>
          <w:p>
            <w:pPr>
              <w:jc w:val="center"/>
              <w:rPr>
                <w:rFonts w:hint="eastAsia" w:ascii="方正楷体简体" w:eastAsia="方正楷体简体"/>
                <w:sz w:val="28"/>
                <w:szCs w:val="28"/>
              </w:rPr>
            </w:pPr>
          </w:p>
        </w:tc>
      </w:tr>
    </w:tbl>
    <w:p>
      <w:pPr>
        <w:rPr>
          <w:rFonts w:hint="eastAsia" w:ascii="方正仿宋简体" w:eastAsia="方正仿宋简体"/>
          <w:sz w:val="32"/>
          <w:szCs w:val="32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widowControl w:val="0"/>
        <w:spacing w:before="0" w:beforeAutospacing="0" w:after="0" w:afterAutospacing="0" w:line="500" w:lineRule="exact"/>
        <w:ind w:firstLine="960" w:firstLineChars="300"/>
        <w:jc w:val="center"/>
        <w:rPr>
          <w:rFonts w:hint="eastAsia"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上海市曹杨职业技术学校</w:t>
      </w:r>
    </w:p>
    <w:p>
      <w:pPr>
        <w:pStyle w:val="2"/>
        <w:widowControl w:val="0"/>
        <w:spacing w:before="0" w:beforeAutospacing="0" w:after="0" w:afterAutospacing="0" w:line="500" w:lineRule="exact"/>
        <w:ind w:firstLine="960" w:firstLineChars="300"/>
        <w:jc w:val="center"/>
        <w:rPr>
          <w:rFonts w:hint="eastAsia"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共青团重点工作创新试点基本思路</w:t>
      </w:r>
    </w:p>
    <w:p>
      <w:pPr>
        <w:pStyle w:val="2"/>
        <w:widowControl w:val="0"/>
        <w:spacing w:before="0" w:beforeAutospacing="0" w:after="0" w:afterAutospacing="0" w:line="500" w:lineRule="exact"/>
        <w:ind w:firstLine="960" w:firstLineChars="300"/>
        <w:jc w:val="center"/>
        <w:rPr>
          <w:rFonts w:hint="eastAsia" w:ascii="黑体" w:eastAsia="黑体"/>
          <w:color w:val="000000"/>
          <w:sz w:val="32"/>
          <w:szCs w:val="32"/>
        </w:rPr>
      </w:pPr>
    </w:p>
    <w:p>
      <w:pPr>
        <w:pStyle w:val="2"/>
        <w:widowControl w:val="0"/>
        <w:spacing w:before="0" w:beforeAutospacing="0" w:after="0" w:afterAutospacing="0" w:line="500" w:lineRule="exact"/>
        <w:jc w:val="both"/>
        <w:rPr>
          <w:rFonts w:hint="eastAsia" w:ascii="仿宋_GB2312" w:hAnsi="Times New Roman" w:eastAsia="仿宋_GB2312" w:cs="Times New Roman"/>
          <w:kern w:val="2"/>
          <w:sz w:val="28"/>
          <w:szCs w:val="28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一.规划可行性创业项目方案</w:t>
      </w:r>
    </w:p>
    <w:p>
      <w:pPr>
        <w:pStyle w:val="2"/>
        <w:widowControl w:val="0"/>
        <w:spacing w:before="0" w:beforeAutospacing="0" w:after="0" w:afterAutospacing="0" w:line="500" w:lineRule="exact"/>
        <w:ind w:firstLine="555"/>
        <w:jc w:val="both"/>
        <w:rPr>
          <w:rFonts w:hint="eastAsia" w:ascii="仿宋_GB2312" w:hAnsi="Times New Roman" w:eastAsia="仿宋_GB2312" w:cs="Times New Roman"/>
          <w:kern w:val="2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借助普陀团区委、普陀区教育局职教科、普陀区就业促进中心、华东师范大学等多方力量，结合职业学校专业特色规划设计切实可行的中职</w:t>
      </w:r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学生创业项目。</w:t>
      </w:r>
    </w:p>
    <w:p>
      <w:pPr>
        <w:pStyle w:val="2"/>
        <w:widowControl w:val="0"/>
        <w:spacing w:before="0" w:beforeAutospacing="0" w:after="0" w:afterAutospacing="0" w:line="500" w:lineRule="exact"/>
        <w:jc w:val="both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二、做好常规校本培训工作，培养中职生职业生涯规划、创业意识与创业能力</w:t>
      </w:r>
    </w:p>
    <w:p>
      <w:pPr>
        <w:pStyle w:val="2"/>
        <w:widowControl w:val="0"/>
        <w:spacing w:before="0" w:beforeAutospacing="0" w:after="0" w:afterAutospacing="0" w:line="500" w:lineRule="exact"/>
        <w:ind w:firstLine="555"/>
        <w:jc w:val="both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目前我校有1名教师有就业指导师（高级技师）资质、2名教师具有创业咨询师技师资质。自2010年开始，学校对高一、高二年级学生开设《职业生涯规划》科目，已经形成一定的课程体系，2012年开发出版了校本教材《我的职业我做主》。</w:t>
      </w:r>
    </w:p>
    <w:p>
      <w:pPr>
        <w:pStyle w:val="2"/>
        <w:widowControl w:val="0"/>
        <w:spacing w:before="0" w:beforeAutospacing="0" w:after="0" w:afterAutospacing="0" w:line="500" w:lineRule="exact"/>
        <w:ind w:firstLine="555"/>
        <w:jc w:val="both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学校每年针对毕业生开展职前培训，对毕业生做毕业前实习就业、创业的培训。培训课程包括“面试技巧”、“如何书写《个人简介》”、“创业达人课堂”等内容。</w:t>
      </w:r>
    </w:p>
    <w:p>
      <w:pPr>
        <w:pStyle w:val="2"/>
        <w:widowControl w:val="0"/>
        <w:spacing w:before="0" w:beforeAutospacing="0" w:after="0" w:afterAutospacing="0" w:line="500" w:lineRule="exact"/>
        <w:jc w:val="both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三、通过课题组、“班主任职业指导工作坊”做具体实践研究</w:t>
      </w:r>
    </w:p>
    <w:p>
      <w:pPr>
        <w:pStyle w:val="2"/>
        <w:widowControl w:val="0"/>
        <w:spacing w:before="0" w:beforeAutospacing="0" w:after="0" w:afterAutospacing="0" w:line="500" w:lineRule="exact"/>
        <w:ind w:firstLine="560" w:firstLineChars="200"/>
        <w:jc w:val="both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2012年，我校成立了“班主任职业指导工作坊”针对学生职业生涯发展规划开展一系列活动和研究，对学生的职业生涯发展规划做具体指导和调研。2013年底，校团委负责老师申报《曹杨职校学生创业教育的行动研究》区级个人课题，在课题研究的过程中指导学校相关创业团队开展创业试点，对创业学生进行相关创业培训。探索学生创业意识提升、就业观念转变的有效教育引导方式。</w:t>
      </w:r>
    </w:p>
    <w:p>
      <w:pPr>
        <w:pStyle w:val="2"/>
        <w:widowControl w:val="0"/>
        <w:spacing w:before="0" w:beforeAutospacing="0" w:after="0" w:afterAutospacing="0" w:line="500" w:lineRule="exact"/>
        <w:jc w:val="both"/>
        <w:rPr>
          <w:rFonts w:hint="eastAsia" w:ascii="仿宋_GB2312" w:hAnsi="Times New Roman" w:eastAsia="仿宋_GB2312" w:cs="Times New Roman"/>
          <w:kern w:val="2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四、结合市、区、学校各类大型活动、赛事，促进</w:t>
      </w:r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学生创业就业实践能力水平的提升</w:t>
      </w:r>
    </w:p>
    <w:p>
      <w:pPr>
        <w:pStyle w:val="2"/>
        <w:widowControl w:val="0"/>
        <w:spacing w:before="0" w:beforeAutospacing="0" w:after="0" w:afterAutospacing="0" w:line="500" w:lineRule="exact"/>
        <w:jc w:val="both"/>
        <w:rPr>
          <w:rFonts w:hint="eastAsia" w:ascii="仿宋_GB2312" w:hAnsi="Times New Roman" w:eastAsia="仿宋_GB2312" w:cs="Times New Roman"/>
          <w:kern w:val="2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eastAsia="仿宋_GB2312"/>
          <w:color w:val="000000"/>
          <w:sz w:val="28"/>
          <w:szCs w:val="28"/>
        </w:rPr>
        <w:t>通过参与各类创业创新大赛（如：共青团中央发起的“挑战杯——彩虹人生”全国职业学校学生创新创业大赛）、市、区、校各类活动（如：三五学雷活动、苏州河国际龙舟邀请赛、市学生社团节、区美育节等、法国SYB慈善活动等）。让学生有更多体验的平台，积累更多的实践经验，从而促进</w:t>
      </w:r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学生创业就业实践能力水平的提升。</w:t>
      </w:r>
    </w:p>
    <w:p>
      <w:pPr>
        <w:pStyle w:val="2"/>
        <w:widowControl w:val="0"/>
        <w:spacing w:before="0" w:beforeAutospacing="0" w:after="0" w:afterAutospacing="0" w:line="500" w:lineRule="exact"/>
        <w:jc w:val="both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五、探索建立促进中职学生创新创业的工作协调、激励和保障机制。</w:t>
      </w:r>
    </w:p>
    <w:p>
      <w:pPr>
        <w:pStyle w:val="2"/>
        <w:widowControl w:val="0"/>
        <w:spacing w:before="0" w:beforeAutospacing="0" w:after="0" w:afterAutospacing="0" w:line="500" w:lineRule="exact"/>
        <w:jc w:val="both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 xml:space="preserve">    目前，学校大力支持开展创新创业活动，专门有分管校领导负责该项目，后期将进一步完善管理机制和激励保障机制。</w:t>
      </w:r>
    </w:p>
    <w:sectPr>
      <w:pgSz w:w="11906" w:h="16838"/>
      <w:pgMar w:top="1440" w:right="1797" w:bottom="1440" w:left="1985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160</Words>
  <Characters>912</Characters>
  <Lines>7</Lines>
  <Paragraphs>2</Paragraphs>
  <ScaleCrop>false</ScaleCrop>
  <LinksUpToDate>false</LinksUpToDate>
  <CharactersWithSpaces>0</CharactersWithSpaces>
  <Application>WPS Office 个人版_9.1.0.4429_{F1E327BC-269C-435d-A152-05C5408002CA}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2014-03-07T03:20:00Z</dcterms:created>
  <dc:creator>微软用户</dc:creator>
  <cp:lastModifiedBy>sunt1</cp:lastModifiedBy>
  <dcterms:modified xsi:type="dcterms:W3CDTF">2014-03-07T04:33:17Z</dcterms:modified>
  <dc:title>附件2：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2052-9.1.0.4429</vt:lpwstr>
  </property>
</Properties>
</file>