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33" w:rsidRDefault="00624133" w:rsidP="00624133">
      <w:pPr>
        <w:ind w:left="2860" w:hangingChars="650" w:hanging="2860"/>
        <w:rPr>
          <w:rFonts w:asciiTheme="majorEastAsia" w:eastAsiaTheme="majorEastAsia" w:hAnsiTheme="majorEastAsia"/>
          <w:sz w:val="44"/>
          <w:szCs w:val="44"/>
        </w:rPr>
      </w:pPr>
      <w:proofErr w:type="gramStart"/>
      <w:r w:rsidRPr="00624133">
        <w:rPr>
          <w:rFonts w:asciiTheme="majorEastAsia" w:eastAsiaTheme="majorEastAsia" w:hAnsiTheme="majorEastAsia" w:hint="eastAsia"/>
          <w:sz w:val="44"/>
          <w:szCs w:val="44"/>
        </w:rPr>
        <w:t>章贡区</w:t>
      </w:r>
      <w:proofErr w:type="gramEnd"/>
      <w:r w:rsidRPr="00624133">
        <w:rPr>
          <w:rFonts w:asciiTheme="majorEastAsia" w:eastAsiaTheme="majorEastAsia" w:hAnsiTheme="majorEastAsia" w:hint="eastAsia"/>
          <w:sz w:val="44"/>
          <w:szCs w:val="44"/>
        </w:rPr>
        <w:t>地税局苏区发展振兴两周年座谈会转发、评论</w:t>
      </w:r>
    </w:p>
    <w:p w:rsidR="00A10869" w:rsidRDefault="00624133" w:rsidP="00A10869">
      <w:pPr>
        <w:tabs>
          <w:tab w:val="left" w:pos="945"/>
        </w:tabs>
        <w:rPr>
          <w:rFonts w:ascii="仿宋_GB2312" w:eastAsia="仿宋_GB2312" w:hAnsiTheme="majorEastAsia" w:hint="eastAsia"/>
          <w:sz w:val="32"/>
          <w:szCs w:val="32"/>
        </w:rPr>
      </w:pPr>
      <w:proofErr w:type="gramStart"/>
      <w:r w:rsidRPr="00624133">
        <w:rPr>
          <w:rFonts w:ascii="仿宋_GB2312" w:eastAsia="仿宋_GB2312" w:hAnsiTheme="majorEastAsia" w:hint="eastAsia"/>
          <w:sz w:val="32"/>
          <w:szCs w:val="32"/>
        </w:rPr>
        <w:t>转发微博账号</w:t>
      </w:r>
      <w:proofErr w:type="gramEnd"/>
      <w:r>
        <w:rPr>
          <w:rFonts w:ascii="仿宋_GB2312" w:eastAsia="仿宋_GB2312" w:hAnsiTheme="majorEastAsia" w:hint="eastAsia"/>
          <w:sz w:val="32"/>
          <w:szCs w:val="32"/>
        </w:rPr>
        <w:t>：</w:t>
      </w:r>
      <w:r w:rsidR="00A10869">
        <w:rPr>
          <w:rFonts w:ascii="仿宋_GB2312" w:eastAsia="仿宋_GB2312" w:hAnsiTheme="majorEastAsia" w:hint="eastAsia"/>
          <w:sz w:val="32"/>
          <w:szCs w:val="32"/>
        </w:rPr>
        <w:t>zgds1、</w:t>
      </w:r>
      <w:r w:rsidR="00A10869" w:rsidRPr="00A10869">
        <w:rPr>
          <w:rFonts w:ascii="仿宋_GB2312" w:eastAsia="仿宋_GB2312" w:hAnsiTheme="majorEastAsia" w:hint="eastAsia"/>
          <w:sz w:val="32"/>
          <w:szCs w:val="32"/>
        </w:rPr>
        <w:t xml:space="preserve"> </w:t>
      </w:r>
      <w:r w:rsidR="00A10869">
        <w:rPr>
          <w:rFonts w:ascii="仿宋_GB2312" w:eastAsia="仿宋_GB2312" w:hAnsiTheme="majorEastAsia" w:hint="eastAsia"/>
          <w:sz w:val="32"/>
          <w:szCs w:val="32"/>
        </w:rPr>
        <w:t>zgds11、 zgds22、zgds33、</w:t>
      </w:r>
    </w:p>
    <w:p w:rsidR="006D52C0" w:rsidRPr="00A10869" w:rsidRDefault="00A10869" w:rsidP="00A10869">
      <w:pPr>
        <w:tabs>
          <w:tab w:val="left" w:pos="945"/>
        </w:tabs>
        <w:ind w:firstLineChars="700" w:firstLine="224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zgds55</w:t>
      </w:r>
    </w:p>
    <w:p w:rsidR="00624133" w:rsidRPr="00624133" w:rsidRDefault="00624133" w:rsidP="00624133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624133">
        <w:rPr>
          <w:rFonts w:ascii="仿宋_GB2312" w:eastAsia="仿宋_GB2312" w:hAnsiTheme="majorEastAsia" w:hint="eastAsia"/>
          <w:sz w:val="32"/>
          <w:szCs w:val="32"/>
        </w:rPr>
        <w:t>苏区发展振兴两周年，建设了风清气正的政治生态。</w:t>
      </w:r>
    </w:p>
    <w:p w:rsidR="00624133" w:rsidRDefault="00624133" w:rsidP="00624133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624133">
        <w:rPr>
          <w:rFonts w:ascii="仿宋_GB2312" w:eastAsia="仿宋_GB2312" w:hAnsiTheme="majorEastAsia"/>
          <w:sz w:val="32"/>
          <w:szCs w:val="32"/>
        </w:rPr>
        <w:t>提高</w:t>
      </w:r>
      <w:r w:rsidRPr="00624133"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教育现代化水平，培养</w:t>
      </w:r>
      <w:r w:rsidRPr="00624133">
        <w:rPr>
          <w:rFonts w:ascii="仿宋_GB2312" w:eastAsia="仿宋_GB2312" w:hAnsiTheme="majorEastAsia" w:hint="eastAsia"/>
          <w:sz w:val="32"/>
          <w:szCs w:val="32"/>
        </w:rPr>
        <w:t>了更多</w:t>
      </w:r>
      <w:r w:rsidRPr="00624133">
        <w:rPr>
          <w:rFonts w:ascii="仿宋_GB2312" w:eastAsia="仿宋_GB2312" w:hAnsiTheme="majorEastAsia"/>
          <w:sz w:val="32"/>
          <w:szCs w:val="32"/>
        </w:rPr>
        <w:t>德智体美全面发展的社会主义建设者和接班人</w:t>
      </w:r>
      <w:r w:rsidRPr="00624133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624133" w:rsidRDefault="00624133" w:rsidP="00624133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624133">
        <w:rPr>
          <w:rFonts w:ascii="仿宋_GB2312" w:eastAsia="仿宋_GB2312" w:hAnsiTheme="majorEastAsia"/>
          <w:sz w:val="32"/>
          <w:szCs w:val="32"/>
        </w:rPr>
        <w:t>使更多</w:t>
      </w:r>
      <w:r>
        <w:rPr>
          <w:rFonts w:ascii="仿宋_GB2312" w:eastAsia="仿宋_GB2312" w:hAnsiTheme="majorEastAsia" w:hint="eastAsia"/>
          <w:sz w:val="32"/>
          <w:szCs w:val="32"/>
        </w:rPr>
        <w:t>的</w:t>
      </w:r>
      <w:r w:rsidRPr="00624133">
        <w:rPr>
          <w:rFonts w:ascii="仿宋_GB2312" w:eastAsia="仿宋_GB2312" w:hAnsiTheme="majorEastAsia"/>
          <w:sz w:val="32"/>
          <w:szCs w:val="32"/>
        </w:rPr>
        <w:t>劳动者成为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创业者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624133" w:rsidRDefault="00624133" w:rsidP="00624133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624133">
        <w:rPr>
          <w:rFonts w:ascii="仿宋_GB2312" w:eastAsia="仿宋_GB2312" w:hAnsiTheme="majorEastAsia"/>
          <w:sz w:val="32"/>
          <w:szCs w:val="32"/>
        </w:rPr>
        <w:t>着力提高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低收入者收入，逐步提高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扶贫标准和最低工资标准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624133" w:rsidRDefault="00624133" w:rsidP="00624133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624133">
        <w:rPr>
          <w:rFonts w:ascii="仿宋_GB2312" w:eastAsia="仿宋_GB2312" w:hAnsiTheme="majorEastAsia"/>
          <w:sz w:val="32"/>
          <w:szCs w:val="32"/>
        </w:rPr>
        <w:t>完善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城乡居民最低生活保障制度，逐步提高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624133">
        <w:rPr>
          <w:rFonts w:ascii="仿宋_GB2312" w:eastAsia="仿宋_GB2312" w:hAnsiTheme="majorEastAsia"/>
          <w:sz w:val="32"/>
          <w:szCs w:val="32"/>
        </w:rPr>
        <w:t>保障水平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624133" w:rsidRDefault="00CF63EF" w:rsidP="00624133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CF63EF">
        <w:rPr>
          <w:rFonts w:ascii="仿宋_GB2312" w:eastAsia="仿宋_GB2312" w:hAnsiTheme="majorEastAsia"/>
          <w:sz w:val="32"/>
          <w:szCs w:val="32"/>
        </w:rPr>
        <w:t>加强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农村三级卫生服务网络和城市社区卫生服务体系建设，深化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公立医院改革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CF63EF" w:rsidRDefault="00CF63EF" w:rsidP="00624133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CF63EF">
        <w:rPr>
          <w:rFonts w:ascii="仿宋_GB2312" w:eastAsia="仿宋_GB2312" w:hAnsiTheme="majorEastAsia"/>
          <w:sz w:val="32"/>
          <w:szCs w:val="32"/>
        </w:rPr>
        <w:t>加强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优质文化产品的生产和供给，促进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传统演出、娱乐、艺术品、文化旅游等文化市场繁荣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CF63EF" w:rsidRDefault="00CF63EF" w:rsidP="00624133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CF63EF">
        <w:rPr>
          <w:rFonts w:ascii="仿宋_GB2312" w:eastAsia="仿宋_GB2312" w:hAnsiTheme="majorEastAsia"/>
          <w:sz w:val="32"/>
          <w:szCs w:val="32"/>
        </w:rPr>
        <w:t>培育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越来越多的小</w:t>
      </w:r>
      <w:proofErr w:type="gramStart"/>
      <w:r w:rsidRPr="00CF63EF">
        <w:rPr>
          <w:rFonts w:ascii="仿宋_GB2312" w:eastAsia="仿宋_GB2312" w:hAnsiTheme="majorEastAsia"/>
          <w:sz w:val="32"/>
          <w:szCs w:val="32"/>
        </w:rPr>
        <w:t>微文化</w:t>
      </w:r>
      <w:proofErr w:type="gramEnd"/>
      <w:r w:rsidRPr="00CF63EF">
        <w:rPr>
          <w:rFonts w:ascii="仿宋_GB2312" w:eastAsia="仿宋_GB2312" w:hAnsiTheme="majorEastAsia"/>
          <w:sz w:val="32"/>
          <w:szCs w:val="32"/>
        </w:rPr>
        <w:t>企业以及具有一技之长的中小文化企业的创业者（管理者）阶层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CF63EF" w:rsidRDefault="00CF63EF" w:rsidP="00624133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CF63EF">
        <w:rPr>
          <w:rFonts w:ascii="仿宋_GB2312" w:eastAsia="仿宋_GB2312" w:hAnsiTheme="majorEastAsia"/>
          <w:sz w:val="32"/>
          <w:szCs w:val="32"/>
        </w:rPr>
        <w:t>大力推进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科学立法、依法执政、依法行政，真正保障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群众文化权益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CF63EF" w:rsidRDefault="00CF63EF" w:rsidP="00CF63EF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基本养老、基本医疗、失业、工伤、生育五项社会保险制度</w:t>
      </w:r>
      <w:r w:rsidRPr="00CF63EF">
        <w:rPr>
          <w:rFonts w:ascii="仿宋_GB2312" w:eastAsia="仿宋_GB2312" w:hAnsiTheme="majorEastAsia"/>
          <w:sz w:val="32"/>
          <w:szCs w:val="32"/>
        </w:rPr>
        <w:t>逐步完善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CF63EF" w:rsidRDefault="00CF63EF" w:rsidP="00CF63EF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 w:rsidRPr="00CF63EF">
        <w:rPr>
          <w:rFonts w:ascii="仿宋_GB2312" w:eastAsia="仿宋_GB2312" w:hAnsiTheme="majorEastAsia"/>
          <w:sz w:val="32"/>
          <w:szCs w:val="32"/>
        </w:rPr>
        <w:lastRenderedPageBreak/>
        <w:t>采取</w:t>
      </w:r>
      <w:r>
        <w:rPr>
          <w:rFonts w:ascii="仿宋_GB2312" w:eastAsia="仿宋_GB2312" w:hAnsiTheme="majorEastAsia" w:hint="eastAsia"/>
          <w:sz w:val="32"/>
          <w:szCs w:val="32"/>
        </w:rPr>
        <w:t>了</w:t>
      </w:r>
      <w:r w:rsidRPr="00CF63EF">
        <w:rPr>
          <w:rFonts w:ascii="仿宋_GB2312" w:eastAsia="仿宋_GB2312" w:hAnsiTheme="majorEastAsia"/>
          <w:sz w:val="32"/>
          <w:szCs w:val="32"/>
        </w:rPr>
        <w:t>多种措施解决群众的就业问题，千方百计增加就业岗位</w:t>
      </w:r>
      <w:r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CF63EF" w:rsidRDefault="00CF63EF" w:rsidP="00CF63EF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人们的消费水平显著提高。</w:t>
      </w:r>
    </w:p>
    <w:p w:rsidR="00680943" w:rsidRDefault="00680943" w:rsidP="00CF63EF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出台了多项优惠政策惠及了许多小微企业。</w:t>
      </w:r>
    </w:p>
    <w:p w:rsidR="00A2662F" w:rsidRDefault="00A10869" w:rsidP="00A2662F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人民的物质生活越来越丰富了</w:t>
      </w:r>
      <w:r w:rsidR="00A2662F">
        <w:rPr>
          <w:rFonts w:ascii="仿宋_GB2312" w:eastAsia="仿宋_GB2312" w:hAnsiTheme="majorEastAsia" w:hint="eastAsia"/>
          <w:sz w:val="32"/>
          <w:szCs w:val="32"/>
        </w:rPr>
        <w:t>。</w:t>
      </w:r>
    </w:p>
    <w:p w:rsidR="00680943" w:rsidRDefault="00680943" w:rsidP="00CF63EF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 w:hint="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农村的马路越来越宽敞平坦了。</w:t>
      </w:r>
    </w:p>
    <w:p w:rsidR="00A10869" w:rsidRPr="00CF63EF" w:rsidRDefault="00A10869" w:rsidP="00CF63EF">
      <w:pPr>
        <w:pStyle w:val="a5"/>
        <w:numPr>
          <w:ilvl w:val="0"/>
          <w:numId w:val="1"/>
        </w:numPr>
        <w:tabs>
          <w:tab w:val="left" w:pos="945"/>
        </w:tabs>
        <w:ind w:firstLineChars="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>赣南人民的水活品质越来越高了。</w:t>
      </w:r>
    </w:p>
    <w:p w:rsidR="00CF63EF" w:rsidRPr="00A10869" w:rsidRDefault="00CF63EF" w:rsidP="00CF63EF">
      <w:pPr>
        <w:tabs>
          <w:tab w:val="left" w:pos="945"/>
        </w:tabs>
        <w:rPr>
          <w:rFonts w:ascii="仿宋_GB2312" w:eastAsia="仿宋_GB2312" w:hAnsiTheme="majorEastAsia" w:hint="eastAsia"/>
          <w:sz w:val="32"/>
          <w:szCs w:val="32"/>
        </w:rPr>
      </w:pPr>
    </w:p>
    <w:p w:rsidR="00CF63EF" w:rsidRDefault="00CF63EF" w:rsidP="00CF63EF">
      <w:pPr>
        <w:tabs>
          <w:tab w:val="left" w:pos="945"/>
        </w:tabs>
        <w:rPr>
          <w:rFonts w:ascii="仿宋_GB2312" w:eastAsia="仿宋_GB2312" w:hAnsiTheme="majorEastAsia" w:hint="eastAsia"/>
          <w:sz w:val="32"/>
          <w:szCs w:val="32"/>
        </w:rPr>
      </w:pPr>
    </w:p>
    <w:p w:rsidR="00CF63EF" w:rsidRPr="00CF63EF" w:rsidRDefault="00CF63EF" w:rsidP="00CF63EF">
      <w:pPr>
        <w:tabs>
          <w:tab w:val="left" w:pos="945"/>
        </w:tabs>
        <w:rPr>
          <w:rFonts w:ascii="仿宋_GB2312" w:eastAsia="仿宋_GB2312" w:hAnsiTheme="majorEastAsia" w:hint="eastAsia"/>
          <w:sz w:val="32"/>
          <w:szCs w:val="32"/>
        </w:rPr>
      </w:pPr>
    </w:p>
    <w:sectPr w:rsidR="00CF63EF" w:rsidRPr="00CF63EF" w:rsidSect="006D5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CF2" w:rsidRDefault="004C4CF2" w:rsidP="00624133">
      <w:r>
        <w:separator/>
      </w:r>
    </w:p>
  </w:endnote>
  <w:endnote w:type="continuationSeparator" w:id="0">
    <w:p w:rsidR="004C4CF2" w:rsidRDefault="004C4CF2" w:rsidP="00624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CF2" w:rsidRDefault="004C4CF2" w:rsidP="00624133">
      <w:r>
        <w:separator/>
      </w:r>
    </w:p>
  </w:footnote>
  <w:footnote w:type="continuationSeparator" w:id="0">
    <w:p w:rsidR="004C4CF2" w:rsidRDefault="004C4CF2" w:rsidP="00624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5C7F"/>
    <w:multiLevelType w:val="hybridMultilevel"/>
    <w:tmpl w:val="74F088A6"/>
    <w:lvl w:ilvl="0" w:tplc="5AD03908">
      <w:start w:val="1"/>
      <w:numFmt w:val="decimal"/>
      <w:lvlText w:val="%1、"/>
      <w:lvlJc w:val="left"/>
      <w:pPr>
        <w:ind w:left="720" w:hanging="720"/>
      </w:pPr>
      <w:rPr>
        <w:rFonts w:ascii="仿宋_GB2312" w:eastAsia="仿宋_GB2312" w:hAnsiTheme="majorEastAsia" w:hint="default"/>
        <w:color w:val="auto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133"/>
    <w:rsid w:val="004C4CF2"/>
    <w:rsid w:val="00624133"/>
    <w:rsid w:val="00680943"/>
    <w:rsid w:val="006D52C0"/>
    <w:rsid w:val="00A10869"/>
    <w:rsid w:val="00A2662F"/>
    <w:rsid w:val="00C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2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1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133"/>
    <w:rPr>
      <w:sz w:val="18"/>
      <w:szCs w:val="18"/>
    </w:rPr>
  </w:style>
  <w:style w:type="paragraph" w:styleId="a5">
    <w:name w:val="List Paragraph"/>
    <w:basedOn w:val="a"/>
    <w:uiPriority w:val="34"/>
    <w:qFormat/>
    <w:rsid w:val="00624133"/>
    <w:pPr>
      <w:ind w:firstLineChars="200" w:firstLine="420"/>
    </w:pPr>
  </w:style>
  <w:style w:type="paragraph" w:customStyle="1" w:styleId="reader-word-layer">
    <w:name w:val="reader-word-layer"/>
    <w:basedOn w:val="a"/>
    <w:rsid w:val="00CF63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40349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0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5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84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98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71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32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41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92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87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940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51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296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784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686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3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8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291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4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2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738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33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778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007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955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14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520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53530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6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0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55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6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44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306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28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9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01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8871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74</Words>
  <Characters>428</Characters>
  <Application>Microsoft Office Word</Application>
  <DocSecurity>0</DocSecurity>
  <Lines>3</Lines>
  <Paragraphs>1</Paragraphs>
  <ScaleCrop>false</ScaleCrop>
  <Company>China Dragon</Company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Cfanjx</dc:creator>
  <cp:keywords/>
  <dc:description/>
  <cp:lastModifiedBy>Cfanjx</cp:lastModifiedBy>
  <cp:revision>3</cp:revision>
  <dcterms:created xsi:type="dcterms:W3CDTF">2014-07-07T04:01:00Z</dcterms:created>
  <dcterms:modified xsi:type="dcterms:W3CDTF">2014-07-07T04:39:00Z</dcterms:modified>
</cp:coreProperties>
</file>